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b/>
          <w:sz w:val="44"/>
          <w:szCs w:val="44"/>
          <w:lang w:eastAsia="zh-CN"/>
        </w:rPr>
      </w:pPr>
      <w:r>
        <w:rPr>
          <w:rFonts w:hint="eastAsia" w:ascii="方正小标宋_GBK" w:eastAsia="方正小标宋_GBK"/>
          <w:b/>
          <w:sz w:val="44"/>
          <w:szCs w:val="44"/>
        </w:rPr>
        <w:t>关于</w:t>
      </w:r>
      <w:r>
        <w:rPr>
          <w:rFonts w:hint="eastAsia" w:ascii="方正小标宋_GBK" w:eastAsia="方正小标宋_GBK"/>
          <w:b/>
          <w:sz w:val="44"/>
          <w:szCs w:val="44"/>
          <w:lang w:eastAsia="zh-CN"/>
        </w:rPr>
        <w:t>修订《差旅费管理办法》</w:t>
      </w:r>
      <w:r>
        <w:rPr>
          <w:rFonts w:ascii="方正小标宋_GBK" w:eastAsia="方正小标宋_GBK"/>
          <w:b/>
          <w:sz w:val="44"/>
          <w:szCs w:val="44"/>
        </w:rPr>
        <w:t>的</w:t>
      </w:r>
      <w:r>
        <w:rPr>
          <w:rFonts w:hint="eastAsia" w:ascii="方正小标宋_GBK" w:eastAsia="方正小标宋_GBK"/>
          <w:b/>
          <w:sz w:val="44"/>
          <w:szCs w:val="44"/>
          <w:lang w:eastAsia="zh-CN"/>
        </w:rPr>
        <w:t>说明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一、工作背景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kern w:val="0"/>
          <w:sz w:val="32"/>
          <w:szCs w:val="32"/>
          <w:lang w:eastAsia="zh-CN" w:bidi="ar"/>
        </w:rPr>
      </w:pPr>
      <w:r>
        <w:rPr>
          <w:rFonts w:hint="eastAsia" w:ascii="方正仿宋_GBK" w:hAnsi="方正仿宋_GBK" w:eastAsia="方正仿宋_GBK" w:cs="方正仿宋_GBK"/>
          <w:color w:val="000000"/>
          <w:kern w:val="0"/>
          <w:sz w:val="32"/>
          <w:szCs w:val="32"/>
          <w:lang w:eastAsia="zh-CN" w:bidi="ar"/>
        </w:rPr>
        <w:t>为进一步加强公务出差管理，根据上级新出台的《中央和国家机关工作人员赴地方差旅住宿费标准明细表》（财行〔201</w:t>
      </w:r>
      <w:r>
        <w:rPr>
          <w:rFonts w:hint="eastAsia" w:ascii="方正仿宋_GBK" w:hAnsi="方正仿宋_GBK" w:eastAsia="方正仿宋_GBK" w:cs="方正仿宋_GBK"/>
          <w:color w:val="000000"/>
          <w:kern w:val="0"/>
          <w:sz w:val="32"/>
          <w:szCs w:val="32"/>
          <w:lang w:val="en-US" w:eastAsia="zh-CN" w:bidi="ar"/>
        </w:rPr>
        <w:t>6</w:t>
      </w:r>
      <w:r>
        <w:rPr>
          <w:rFonts w:hint="eastAsia" w:ascii="方正仿宋_GBK" w:hAnsi="方正仿宋_GBK" w:eastAsia="方正仿宋_GBK" w:cs="方正仿宋_GBK"/>
          <w:color w:val="000000"/>
          <w:kern w:val="0"/>
          <w:sz w:val="32"/>
          <w:szCs w:val="32"/>
          <w:lang w:eastAsia="zh-CN" w:bidi="ar"/>
        </w:rPr>
        <w:t>〕71号）、《关于规范差旅伙食费和市内交通费收交管理有关事项的通知》（财办行〔2019〕104号）等文件规定，鼓励职工优先乘坐公共交通工具，同时对管理中的细节进行完善，修订此文件</w:t>
      </w:r>
      <w:r>
        <w:rPr>
          <w:rFonts w:hint="eastAsia" w:ascii="方正仿宋_GBK" w:hAnsi="方正仿宋_GBK" w:eastAsia="方正仿宋_GBK" w:cs="方正仿宋_GBK"/>
          <w:color w:val="000000"/>
          <w:kern w:val="0"/>
          <w:sz w:val="32"/>
          <w:szCs w:val="32"/>
          <w:lang w:bidi="ar"/>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二、工作内容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b/>
          <w:bCs/>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1.修订思路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kern w:val="0"/>
          <w:sz w:val="32"/>
          <w:szCs w:val="32"/>
          <w:lang w:eastAsia="zh-CN" w:bidi="ar"/>
        </w:rPr>
      </w:pPr>
      <w:r>
        <w:rPr>
          <w:rFonts w:hint="eastAsia" w:ascii="方正仿宋_GBK" w:hAnsi="方正仿宋_GBK" w:eastAsia="方正仿宋_GBK" w:cs="方正仿宋_GBK"/>
          <w:color w:val="000000"/>
          <w:kern w:val="0"/>
          <w:sz w:val="32"/>
          <w:szCs w:val="32"/>
          <w:lang w:eastAsia="zh-CN" w:bidi="ar"/>
        </w:rPr>
        <w:t>结合中央等上级文件及现在校内报销的做法，进一步明确差旅费的概念，修订本办法适用人员、合理调整费用标准、强调出差审批程序、完善差旅类型和细化特殊情况，</w:t>
      </w:r>
      <w:r>
        <w:rPr>
          <w:rFonts w:hint="eastAsia" w:ascii="方正仿宋_GBK" w:hAnsi="方正仿宋_GBK" w:eastAsia="方正仿宋_GBK" w:cs="方正仿宋_GBK"/>
          <w:color w:val="000000"/>
          <w:kern w:val="0"/>
          <w:sz w:val="32"/>
          <w:szCs w:val="32"/>
          <w:lang w:val="en-US" w:eastAsia="zh-CN" w:bidi="ar"/>
        </w:rPr>
        <w:t>规范职工出差行为，引导职工乘坐公共交通工具出差</w:t>
      </w:r>
      <w:r>
        <w:rPr>
          <w:rFonts w:hint="eastAsia" w:ascii="方正仿宋_GBK" w:hAnsi="方正仿宋_GBK" w:eastAsia="方正仿宋_GBK" w:cs="方正仿宋_GBK"/>
          <w:color w:val="000000"/>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b/>
          <w:bCs/>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2.文件内容</w:t>
      </w:r>
    </w:p>
    <w:p>
      <w:pPr>
        <w:spacing w:line="560" w:lineRule="exact"/>
        <w:ind w:firstLine="640" w:firstLineChars="20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文件框架体系未做大的变动，将原有无法归类的出差情况单独增加其他差旅费一章，同时增加附则一章。分为总则、城市间交通费、住宿费、伙食补助费、出差地交通费、其他差旅费、报销管理、监督问责、附则等章节。主要修订情况如下：</w:t>
      </w:r>
    </w:p>
    <w:p>
      <w:pPr>
        <w:spacing w:line="560" w:lineRule="exact"/>
        <w:ind w:firstLine="643" w:firstLineChars="200"/>
        <w:jc w:val="left"/>
        <w:rPr>
          <w:rFonts w:hint="eastAsia" w:ascii="方正仿宋_GBK" w:hAnsi="方正仿宋_GBK" w:eastAsia="方正仿宋_GBK" w:cs="方正仿宋_GBK"/>
          <w:b/>
          <w:bCs/>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第一章 “总则”部分修订四处。</w:t>
      </w:r>
    </w:p>
    <w:p>
      <w:pPr>
        <w:spacing w:line="560" w:lineRule="exact"/>
        <w:ind w:firstLine="643" w:firstLineChars="20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第一条</w:t>
      </w:r>
      <w:r>
        <w:rPr>
          <w:rFonts w:hint="eastAsia" w:ascii="方正仿宋_GBK" w:hAnsi="方正仿宋_GBK" w:eastAsia="方正仿宋_GBK" w:cs="方正仿宋_GBK"/>
          <w:color w:val="000000"/>
          <w:kern w:val="0"/>
          <w:sz w:val="32"/>
          <w:szCs w:val="32"/>
          <w:lang w:val="en-US" w:eastAsia="zh-CN" w:bidi="ar"/>
        </w:rPr>
        <w:t>主要增加两个上位文件依据，表明住宿标准和具体要求变化有文件可依。</w:t>
      </w:r>
    </w:p>
    <w:p>
      <w:pPr>
        <w:spacing w:line="560" w:lineRule="exact"/>
        <w:ind w:firstLine="643" w:firstLineChars="20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第二条</w:t>
      </w:r>
      <w:r>
        <w:rPr>
          <w:rFonts w:hint="eastAsia" w:ascii="方正仿宋_GBK" w:hAnsi="方正仿宋_GBK" w:eastAsia="方正仿宋_GBK" w:cs="方正仿宋_GBK"/>
          <w:color w:val="000000"/>
          <w:kern w:val="0"/>
          <w:sz w:val="32"/>
          <w:szCs w:val="32"/>
          <w:lang w:val="en-US" w:eastAsia="zh-CN" w:bidi="ar"/>
        </w:rPr>
        <w:t>明确差旅费使用的</w:t>
      </w:r>
      <w:r>
        <w:rPr>
          <w:rFonts w:hint="eastAsia" w:ascii="方正仿宋_GBK" w:hAnsi="方正仿宋_GBK" w:eastAsia="方正仿宋_GBK" w:cs="方正仿宋_GBK"/>
          <w:b/>
          <w:bCs/>
          <w:color w:val="000000"/>
          <w:kern w:val="0"/>
          <w:sz w:val="32"/>
          <w:szCs w:val="32"/>
          <w:lang w:val="en-US" w:eastAsia="zh-CN" w:bidi="ar"/>
        </w:rPr>
        <w:t>主体是学校工作人员</w:t>
      </w:r>
      <w:r>
        <w:rPr>
          <w:rFonts w:hint="eastAsia" w:ascii="方正仿宋_GBK" w:hAnsi="方正仿宋_GBK" w:eastAsia="方正仿宋_GBK" w:cs="方正仿宋_GBK"/>
          <w:color w:val="000000"/>
          <w:kern w:val="0"/>
          <w:sz w:val="32"/>
          <w:szCs w:val="32"/>
          <w:lang w:val="en-US" w:eastAsia="zh-CN" w:bidi="ar"/>
        </w:rPr>
        <w:t>，对应上级文件要求的主体；产生差旅费的地域从原来的</w:t>
      </w:r>
      <w:r>
        <w:rPr>
          <w:rFonts w:hint="eastAsia" w:ascii="方正仿宋_GBK" w:hAnsi="方正仿宋_GBK" w:eastAsia="方正仿宋_GBK" w:cs="方正仿宋_GBK"/>
          <w:color w:val="000000"/>
          <w:kern w:val="0"/>
          <w:sz w:val="32"/>
          <w:szCs w:val="32"/>
          <w:u w:val="single"/>
          <w:lang w:val="en-US" w:eastAsia="zh-CN" w:bidi="ar"/>
        </w:rPr>
        <w:t>涪陵区外</w:t>
      </w:r>
      <w:r>
        <w:rPr>
          <w:rFonts w:hint="eastAsia" w:ascii="方正仿宋_GBK" w:hAnsi="方正仿宋_GBK" w:eastAsia="方正仿宋_GBK" w:cs="方正仿宋_GBK"/>
          <w:color w:val="000000"/>
          <w:kern w:val="0"/>
          <w:sz w:val="32"/>
          <w:szCs w:val="32"/>
          <w:lang w:val="en-US" w:eastAsia="zh-CN" w:bidi="ar"/>
        </w:rPr>
        <w:t>修订为到</w:t>
      </w:r>
      <w:r>
        <w:rPr>
          <w:rFonts w:hint="eastAsia" w:ascii="方正仿宋_GBK" w:hAnsi="方正仿宋_GBK" w:eastAsia="方正仿宋_GBK" w:cs="方正仿宋_GBK"/>
          <w:color w:val="000000"/>
          <w:kern w:val="0"/>
          <w:sz w:val="32"/>
          <w:szCs w:val="32"/>
          <w:u w:val="single"/>
          <w:lang w:val="en-US" w:eastAsia="zh-CN" w:bidi="ar"/>
        </w:rPr>
        <w:t>涪陵城区外</w:t>
      </w:r>
      <w:r>
        <w:rPr>
          <w:rFonts w:hint="eastAsia" w:ascii="方正仿宋_GBK" w:hAnsi="方正仿宋_GBK" w:eastAsia="方正仿宋_GBK" w:cs="方正仿宋_GBK"/>
          <w:color w:val="000000"/>
          <w:kern w:val="0"/>
          <w:sz w:val="32"/>
          <w:szCs w:val="32"/>
          <w:lang w:val="en-US" w:eastAsia="zh-CN" w:bidi="ar"/>
        </w:rPr>
        <w:t>出差，解决以前到涪陵乡镇出差报销住宿费等没有依据的问题。</w:t>
      </w:r>
    </w:p>
    <w:p>
      <w:pPr>
        <w:spacing w:line="560" w:lineRule="exact"/>
        <w:ind w:firstLine="643" w:firstLineChars="20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删除原文件“第五条差旅费使用和管理职责”</w:t>
      </w:r>
      <w:r>
        <w:rPr>
          <w:rFonts w:hint="eastAsia" w:ascii="方正仿宋_GBK" w:hAnsi="方正仿宋_GBK" w:eastAsia="方正仿宋_GBK" w:cs="方正仿宋_GBK"/>
          <w:color w:val="000000"/>
          <w:kern w:val="0"/>
          <w:sz w:val="32"/>
          <w:szCs w:val="32"/>
          <w:lang w:val="en-US" w:eastAsia="zh-CN" w:bidi="ar"/>
        </w:rPr>
        <w:t>，主要原因是该部分内容在经济责任制实施办法中很明确，其他高校也无该条。</w:t>
      </w:r>
    </w:p>
    <w:p>
      <w:pPr>
        <w:spacing w:line="560" w:lineRule="exact"/>
        <w:ind w:firstLine="640" w:firstLineChars="20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将（长师院发﹝2017﹞157号）“</w:t>
      </w:r>
      <w:r>
        <w:rPr>
          <w:rFonts w:hint="eastAsia" w:ascii="方正仿宋_GBK" w:hAnsi="方正仿宋_GBK" w:eastAsia="方正仿宋_GBK" w:cs="方正仿宋_GBK"/>
          <w:b/>
          <w:bCs/>
          <w:color w:val="000000"/>
          <w:kern w:val="0"/>
          <w:sz w:val="32"/>
          <w:szCs w:val="32"/>
          <w:lang w:val="en-US" w:eastAsia="zh-CN" w:bidi="ar"/>
        </w:rPr>
        <w:t>加强出差事前审批相关内容</w:t>
      </w:r>
      <w:r>
        <w:rPr>
          <w:rFonts w:hint="eastAsia" w:ascii="方正仿宋_GBK" w:hAnsi="方正仿宋_GBK" w:eastAsia="方正仿宋_GBK" w:cs="方正仿宋_GBK"/>
          <w:color w:val="000000"/>
          <w:kern w:val="0"/>
          <w:sz w:val="32"/>
          <w:szCs w:val="32"/>
          <w:lang w:val="en-US" w:eastAsia="zh-CN" w:bidi="ar"/>
        </w:rPr>
        <w:t>”，提前到第五条，强调事前审批。这一条主要参照市内高校和目前学校管理要求：</w:t>
      </w:r>
    </w:p>
    <w:p>
      <w:pPr>
        <w:spacing w:line="560" w:lineRule="exact"/>
        <w:ind w:firstLine="640" w:firstLineChars="20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一是处级干部出差要事前审批，且要党委书记审批、组织部备案；</w:t>
      </w:r>
    </w:p>
    <w:p>
      <w:pPr>
        <w:spacing w:line="600" w:lineRule="exact"/>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二是普通职工出差要事前向二级部门负责人提出申请审批。</w:t>
      </w:r>
    </w:p>
    <w:p>
      <w:pPr>
        <w:spacing w:line="600" w:lineRule="exact"/>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三是出差时间较长的普通职工，需要业务分管校领导审批，避免无实质性业务长期在外出差。</w:t>
      </w:r>
    </w:p>
    <w:p>
      <w:pPr>
        <w:spacing w:line="600" w:lineRule="exact"/>
        <w:ind w:firstLine="643" w:firstLineChars="200"/>
        <w:rPr>
          <w:rFonts w:hint="eastAsia" w:ascii="方正仿宋_GBK" w:hAnsi="宋体" w:eastAsia="方正仿宋_GBK" w:cs="宋体"/>
          <w:b/>
          <w:bCs/>
          <w:kern w:val="0"/>
          <w:sz w:val="32"/>
          <w:szCs w:val="32"/>
          <w:lang w:val="en-US" w:eastAsia="zh-CN"/>
        </w:rPr>
      </w:pPr>
      <w:r>
        <w:rPr>
          <w:rFonts w:hint="eastAsia" w:ascii="方正仿宋_GBK" w:hAnsi="宋体" w:eastAsia="方正仿宋_GBK" w:cs="宋体"/>
          <w:b/>
          <w:bCs/>
          <w:kern w:val="0"/>
          <w:sz w:val="32"/>
          <w:szCs w:val="32"/>
          <w:lang w:val="en-US" w:eastAsia="zh-CN"/>
        </w:rPr>
        <w:t>第二章“城市间交通费”未做实质性修订。</w:t>
      </w:r>
    </w:p>
    <w:p>
      <w:pPr>
        <w:spacing w:line="600" w:lineRule="exact"/>
        <w:ind w:firstLine="643"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b/>
          <w:bCs/>
          <w:kern w:val="0"/>
          <w:sz w:val="32"/>
          <w:szCs w:val="32"/>
          <w:lang w:val="en-US" w:eastAsia="zh-CN"/>
        </w:rPr>
        <w:t>第三章“住宿费”</w:t>
      </w:r>
      <w:r>
        <w:rPr>
          <w:rFonts w:hint="eastAsia" w:ascii="方正仿宋_GBK" w:hAnsi="宋体" w:eastAsia="方正仿宋_GBK" w:cs="宋体"/>
          <w:kern w:val="0"/>
          <w:sz w:val="32"/>
          <w:szCs w:val="32"/>
          <w:lang w:val="en-US" w:eastAsia="zh-CN"/>
        </w:rPr>
        <w:t>主要对住宿费标准进行修订。</w:t>
      </w:r>
    </w:p>
    <w:p>
      <w:pPr>
        <w:spacing w:line="600" w:lineRule="exact"/>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对比了《中央和国家机关工作人员赴地方差旅住宿费标准明细表》和学校原有标准，根据上级文件，参照市内其他高校标准，将</w:t>
      </w:r>
      <w:r>
        <w:rPr>
          <w:rFonts w:hint="eastAsia" w:ascii="方正仿宋_GBK" w:hAnsi="宋体" w:eastAsia="方正仿宋_GBK" w:cs="宋体"/>
          <w:kern w:val="0"/>
          <w:sz w:val="32"/>
          <w:szCs w:val="32"/>
          <w:u w:val="single"/>
          <w:lang w:val="en-US" w:eastAsia="zh-CN"/>
        </w:rPr>
        <w:t>特殊地区住宿费标准调高</w:t>
      </w:r>
      <w:r>
        <w:rPr>
          <w:rFonts w:hint="eastAsia" w:ascii="方正仿宋_GBK" w:hAnsi="宋体" w:eastAsia="方正仿宋_GBK" w:cs="宋体"/>
          <w:kern w:val="0"/>
          <w:sz w:val="32"/>
          <w:szCs w:val="32"/>
          <w:lang w:val="en-US" w:eastAsia="zh-CN"/>
        </w:rPr>
        <w:t>，</w:t>
      </w:r>
      <w:r>
        <w:rPr>
          <w:rFonts w:hint="eastAsia" w:ascii="方正仿宋_GBK" w:hAnsi="宋体" w:eastAsia="方正仿宋_GBK" w:cs="宋体"/>
          <w:kern w:val="0"/>
          <w:sz w:val="32"/>
          <w:szCs w:val="32"/>
          <w:u w:val="single"/>
          <w:lang w:val="en-US" w:eastAsia="zh-CN"/>
        </w:rPr>
        <w:t>其他地区住宿费依然采取平均值算法进行了简化</w:t>
      </w:r>
      <w:r>
        <w:rPr>
          <w:rFonts w:hint="eastAsia" w:ascii="方正仿宋_GBK" w:hAnsi="宋体" w:eastAsia="方正仿宋_GBK" w:cs="宋体"/>
          <w:kern w:val="0"/>
          <w:sz w:val="32"/>
          <w:szCs w:val="32"/>
          <w:lang w:val="en-US" w:eastAsia="zh-CN"/>
        </w:rPr>
        <w:t>，未作淡旺季区别，具体标准见文件的附件2。</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方正仿宋_GBK" w:hAnsi="方正仿宋_GBK" w:eastAsia="方正仿宋_GBK" w:cs="方正仿宋_GBK"/>
          <w:b/>
          <w:color w:val="auto"/>
          <w:sz w:val="30"/>
          <w:szCs w:val="30"/>
          <w:lang w:val="en-US" w:eastAsia="zh-CN"/>
        </w:rPr>
      </w:pPr>
      <w:r>
        <w:rPr>
          <w:rFonts w:hint="eastAsia" w:ascii="方正仿宋_GBK" w:hAnsi="方正仿宋_GBK" w:eastAsia="方正仿宋_GBK" w:cs="方正仿宋_GBK"/>
          <w:b/>
          <w:color w:val="auto"/>
          <w:sz w:val="30"/>
          <w:szCs w:val="30"/>
          <w:lang w:val="en-US" w:eastAsia="zh-CN"/>
        </w:rPr>
        <w:t>原文件中住宿标准：</w:t>
      </w:r>
    </w:p>
    <w:tbl>
      <w:tblPr>
        <w:tblStyle w:val="8"/>
        <w:tblW w:w="887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59"/>
        <w:gridCol w:w="1268"/>
        <w:gridCol w:w="1838"/>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tblCellSpacing w:w="0" w:type="dxa"/>
          <w:jc w:val="center"/>
        </w:trPr>
        <w:tc>
          <w:tcPr>
            <w:tcW w:w="3459" w:type="dxa"/>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仿宋_GB2312" w:eastAsia="仿宋_GB2312"/>
                <w:strike w:val="0"/>
                <w:dstrike w:val="0"/>
                <w:sz w:val="24"/>
                <w:szCs w:val="24"/>
              </w:rPr>
            </w:pPr>
            <w:r>
              <w:rPr>
                <w:rFonts w:hint="eastAsia" w:ascii="仿宋_GB2312" w:eastAsia="仿宋_GB2312"/>
                <w:strike w:val="0"/>
                <w:dstrike w:val="0"/>
                <w:sz w:val="24"/>
                <w:szCs w:val="24"/>
              </w:rPr>
              <w:t xml:space="preserve">  </w:t>
            </w:r>
            <w:r>
              <w:rPr>
                <w:rFonts w:hint="eastAsia" w:ascii="仿宋_GB2312" w:eastAsia="仿宋_GB2312"/>
                <w:strike w:val="0"/>
                <w:dstrike w:val="0"/>
                <w:sz w:val="24"/>
                <w:szCs w:val="24"/>
                <w:lang w:val="en-US" w:eastAsia="zh-CN"/>
              </w:rPr>
              <w:t xml:space="preserve">     </w:t>
            </w:r>
            <w:r>
              <w:rPr>
                <w:rFonts w:hint="eastAsia" w:ascii="仿宋_GB2312" w:eastAsia="仿宋_GB2312"/>
                <w:strike w:val="0"/>
                <w:dstrike w:val="0"/>
                <w:sz w:val="24"/>
                <w:szCs w:val="24"/>
              </w:rPr>
              <w:t xml:space="preserve">  标准限额(元/天)</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auto"/>
              <w:rPr>
                <w:rFonts w:hint="eastAsia" w:ascii="仿宋_GB2312" w:eastAsia="仿宋_GB2312"/>
                <w:strike w:val="0"/>
                <w:dstrike w:val="0"/>
                <w:sz w:val="24"/>
                <w:szCs w:val="24"/>
              </w:rPr>
            </w:pPr>
            <w:r>
              <w:rPr>
                <w:rFonts w:hint="eastAsia" w:ascii="仿宋_GB2312" w:eastAsia="仿宋_GB2312"/>
                <w:strike w:val="0"/>
                <w:dstrike w:val="0"/>
                <w:sz w:val="24"/>
                <w:szCs w:val="24"/>
              </w:rPr>
              <w:t>职务、职称</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eastAsia="仿宋_GB2312"/>
                <w:strike w:val="0"/>
                <w:dstrike w:val="0"/>
                <w:sz w:val="24"/>
                <w:szCs w:val="24"/>
              </w:rPr>
            </w:pPr>
            <w:r>
              <w:rPr>
                <w:rFonts w:hint="eastAsia" w:ascii="仿宋_GB2312" w:eastAsia="仿宋_GB2312"/>
                <w:strike w:val="0"/>
                <w:dstrike w:val="0"/>
                <w:sz w:val="24"/>
                <w:szCs w:val="24"/>
              </w:rPr>
              <w:t>特殊地区</w:t>
            </w:r>
          </w:p>
        </w:tc>
        <w:tc>
          <w:tcPr>
            <w:tcW w:w="18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eastAsia="仿宋_GB2312"/>
                <w:strike w:val="0"/>
                <w:dstrike w:val="0"/>
                <w:sz w:val="24"/>
                <w:szCs w:val="24"/>
              </w:rPr>
            </w:pPr>
            <w:r>
              <w:rPr>
                <w:rFonts w:hint="eastAsia" w:ascii="仿宋_GB2312" w:eastAsia="仿宋_GB2312"/>
                <w:strike w:val="0"/>
                <w:dstrike w:val="0"/>
                <w:sz w:val="24"/>
                <w:szCs w:val="24"/>
              </w:rPr>
              <w:t>重庆主城区及除特殊地区外的省、市</w:t>
            </w:r>
          </w:p>
        </w:tc>
        <w:tc>
          <w:tcPr>
            <w:tcW w:w="2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strike w:val="0"/>
                <w:dstrike w:val="0"/>
                <w:sz w:val="24"/>
                <w:szCs w:val="24"/>
              </w:rPr>
            </w:pPr>
            <w:r>
              <w:rPr>
                <w:rFonts w:hint="eastAsia" w:ascii="仿宋_GB2312" w:eastAsia="仿宋_GB2312"/>
                <w:strike w:val="0"/>
                <w:dstrike w:val="0"/>
                <w:sz w:val="24"/>
                <w:szCs w:val="24"/>
              </w:rPr>
              <w:t>重庆市主城区外的区、县，（不含涪陵）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459" w:type="dxa"/>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ascii="仿宋_GB2312" w:eastAsia="仿宋_GB2312"/>
                <w:strike w:val="0"/>
                <w:dstrike w:val="0"/>
                <w:sz w:val="24"/>
                <w:szCs w:val="24"/>
              </w:rPr>
            </w:pPr>
            <w:r>
              <w:rPr>
                <w:rFonts w:hint="eastAsia" w:ascii="仿宋_GB2312" w:eastAsia="仿宋_GB2312"/>
                <w:strike w:val="0"/>
                <w:dstrike w:val="0"/>
                <w:sz w:val="24"/>
                <w:szCs w:val="24"/>
              </w:rPr>
              <w:t>校级领导、正高职称人员</w:t>
            </w:r>
          </w:p>
        </w:tc>
        <w:tc>
          <w:tcPr>
            <w:tcW w:w="1268" w:type="dxa"/>
            <w:noWrap w:val="0"/>
            <w:vAlign w:val="center"/>
          </w:tcPr>
          <w:p>
            <w:pPr>
              <w:keepNext w:val="0"/>
              <w:keepLines w:val="0"/>
              <w:pageBreakBefore w:val="0"/>
              <w:widowControl w:val="0"/>
              <w:kinsoku/>
              <w:wordWrap/>
              <w:overflowPunct/>
              <w:topLinePunct w:val="0"/>
              <w:autoSpaceDE/>
              <w:autoSpaceDN/>
              <w:bidi w:val="0"/>
              <w:spacing w:line="280" w:lineRule="exact"/>
              <w:ind w:firstLine="480" w:firstLineChars="200"/>
              <w:textAlignment w:val="auto"/>
              <w:rPr>
                <w:rFonts w:hint="eastAsia" w:ascii="仿宋_GB2312" w:eastAsia="仿宋_GB2312"/>
                <w:strike w:val="0"/>
                <w:dstrike w:val="0"/>
                <w:sz w:val="24"/>
                <w:szCs w:val="24"/>
              </w:rPr>
            </w:pPr>
            <w:r>
              <w:rPr>
                <w:rFonts w:hint="eastAsia" w:ascii="仿宋_GB2312" w:eastAsia="仿宋_GB2312"/>
                <w:strike w:val="0"/>
                <w:dstrike w:val="0"/>
                <w:sz w:val="24"/>
                <w:szCs w:val="24"/>
              </w:rPr>
              <w:t>500</w:t>
            </w:r>
          </w:p>
        </w:tc>
        <w:tc>
          <w:tcPr>
            <w:tcW w:w="1838" w:type="dxa"/>
            <w:noWrap w:val="0"/>
            <w:vAlign w:val="center"/>
          </w:tcPr>
          <w:p>
            <w:pPr>
              <w:keepNext w:val="0"/>
              <w:keepLines w:val="0"/>
              <w:pageBreakBefore w:val="0"/>
              <w:widowControl w:val="0"/>
              <w:kinsoku/>
              <w:wordWrap/>
              <w:overflowPunct/>
              <w:topLinePunct w:val="0"/>
              <w:autoSpaceDE/>
              <w:autoSpaceDN/>
              <w:bidi w:val="0"/>
              <w:spacing w:line="280" w:lineRule="exact"/>
              <w:ind w:firstLine="480" w:firstLineChars="200"/>
              <w:textAlignment w:val="auto"/>
              <w:rPr>
                <w:rFonts w:hint="eastAsia" w:ascii="仿宋_GB2312" w:eastAsia="仿宋_GB2312"/>
                <w:strike w:val="0"/>
                <w:dstrike w:val="0"/>
                <w:sz w:val="24"/>
                <w:szCs w:val="24"/>
                <w:lang w:eastAsia="zh-CN"/>
              </w:rPr>
            </w:pPr>
            <w:r>
              <w:rPr>
                <w:rFonts w:hint="eastAsia" w:ascii="仿宋_GB2312" w:eastAsia="仿宋_GB2312"/>
                <w:strike w:val="0"/>
                <w:dstrike w:val="0"/>
                <w:sz w:val="24"/>
                <w:szCs w:val="24"/>
              </w:rPr>
              <w:t>480</w:t>
            </w:r>
          </w:p>
        </w:tc>
        <w:tc>
          <w:tcPr>
            <w:tcW w:w="2309" w:type="dxa"/>
            <w:noWrap w:val="0"/>
            <w:vAlign w:val="center"/>
          </w:tcPr>
          <w:p>
            <w:pPr>
              <w:keepNext w:val="0"/>
              <w:keepLines w:val="0"/>
              <w:pageBreakBefore w:val="0"/>
              <w:widowControl w:val="0"/>
              <w:kinsoku/>
              <w:wordWrap/>
              <w:overflowPunct/>
              <w:topLinePunct w:val="0"/>
              <w:autoSpaceDE/>
              <w:autoSpaceDN/>
              <w:bidi w:val="0"/>
              <w:spacing w:line="280" w:lineRule="exact"/>
              <w:ind w:firstLine="480" w:firstLineChars="200"/>
              <w:textAlignment w:val="auto"/>
              <w:rPr>
                <w:rFonts w:hint="eastAsia" w:ascii="仿宋_GB2312" w:eastAsia="仿宋_GB2312"/>
                <w:strike w:val="0"/>
                <w:dstrike w:val="0"/>
                <w:sz w:val="24"/>
                <w:szCs w:val="24"/>
              </w:rPr>
            </w:pPr>
            <w:r>
              <w:rPr>
                <w:rFonts w:hint="eastAsia" w:ascii="仿宋_GB2312" w:eastAsia="仿宋_GB2312"/>
                <w:strike w:val="0"/>
                <w:dstrike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459" w:type="dxa"/>
            <w:noWrap w:val="0"/>
            <w:vAlign w:val="center"/>
          </w:tcPr>
          <w:p>
            <w:pPr>
              <w:keepNext w:val="0"/>
              <w:keepLines w:val="0"/>
              <w:pageBreakBefore w:val="0"/>
              <w:widowControl w:val="0"/>
              <w:kinsoku/>
              <w:wordWrap/>
              <w:overflowPunct/>
              <w:topLinePunct w:val="0"/>
              <w:autoSpaceDE/>
              <w:autoSpaceDN/>
              <w:bidi w:val="0"/>
              <w:spacing w:line="280" w:lineRule="exact"/>
              <w:ind w:firstLine="480" w:firstLineChars="200"/>
              <w:textAlignment w:val="auto"/>
              <w:rPr>
                <w:rFonts w:ascii="仿宋_GB2312" w:eastAsia="仿宋_GB2312"/>
                <w:strike w:val="0"/>
                <w:dstrike w:val="0"/>
                <w:sz w:val="24"/>
                <w:szCs w:val="24"/>
              </w:rPr>
            </w:pPr>
            <w:r>
              <w:rPr>
                <w:rFonts w:hint="eastAsia" w:ascii="仿宋_GB2312" w:eastAsia="仿宋_GB2312"/>
                <w:strike w:val="0"/>
                <w:dstrike w:val="0"/>
                <w:sz w:val="24"/>
                <w:szCs w:val="24"/>
              </w:rPr>
              <w:t>其余人员</w:t>
            </w:r>
          </w:p>
        </w:tc>
        <w:tc>
          <w:tcPr>
            <w:tcW w:w="1268" w:type="dxa"/>
            <w:noWrap w:val="0"/>
            <w:vAlign w:val="center"/>
          </w:tcPr>
          <w:p>
            <w:pPr>
              <w:keepNext w:val="0"/>
              <w:keepLines w:val="0"/>
              <w:pageBreakBefore w:val="0"/>
              <w:widowControl w:val="0"/>
              <w:kinsoku/>
              <w:wordWrap/>
              <w:overflowPunct/>
              <w:topLinePunct w:val="0"/>
              <w:autoSpaceDE/>
              <w:autoSpaceDN/>
              <w:bidi w:val="0"/>
              <w:spacing w:line="280" w:lineRule="exact"/>
              <w:ind w:firstLine="480" w:firstLineChars="200"/>
              <w:textAlignment w:val="auto"/>
              <w:rPr>
                <w:rFonts w:hint="eastAsia" w:ascii="仿宋_GB2312" w:eastAsia="仿宋_GB2312"/>
                <w:strike w:val="0"/>
                <w:dstrike w:val="0"/>
                <w:sz w:val="24"/>
                <w:szCs w:val="24"/>
              </w:rPr>
            </w:pPr>
            <w:r>
              <w:rPr>
                <w:rFonts w:hint="eastAsia" w:ascii="仿宋_GB2312" w:eastAsia="仿宋_GB2312"/>
                <w:strike w:val="0"/>
                <w:dstrike w:val="0"/>
                <w:sz w:val="24"/>
                <w:szCs w:val="24"/>
              </w:rPr>
              <w:t>350</w:t>
            </w:r>
          </w:p>
        </w:tc>
        <w:tc>
          <w:tcPr>
            <w:tcW w:w="1838" w:type="dxa"/>
            <w:noWrap w:val="0"/>
            <w:vAlign w:val="center"/>
          </w:tcPr>
          <w:p>
            <w:pPr>
              <w:keepNext w:val="0"/>
              <w:keepLines w:val="0"/>
              <w:pageBreakBefore w:val="0"/>
              <w:widowControl w:val="0"/>
              <w:kinsoku/>
              <w:wordWrap/>
              <w:overflowPunct/>
              <w:topLinePunct w:val="0"/>
              <w:autoSpaceDE/>
              <w:autoSpaceDN/>
              <w:bidi w:val="0"/>
              <w:spacing w:line="280" w:lineRule="exact"/>
              <w:ind w:firstLine="480" w:firstLineChars="200"/>
              <w:textAlignment w:val="auto"/>
              <w:rPr>
                <w:rFonts w:hint="eastAsia" w:ascii="仿宋_GB2312" w:eastAsia="仿宋_GB2312"/>
                <w:strike w:val="0"/>
                <w:dstrike w:val="0"/>
                <w:sz w:val="24"/>
                <w:szCs w:val="24"/>
              </w:rPr>
            </w:pPr>
            <w:r>
              <w:rPr>
                <w:rFonts w:hint="eastAsia" w:ascii="仿宋_GB2312" w:eastAsia="仿宋_GB2312"/>
                <w:strike w:val="0"/>
                <w:dstrike w:val="0"/>
                <w:sz w:val="24"/>
                <w:szCs w:val="24"/>
              </w:rPr>
              <w:t>330</w:t>
            </w:r>
          </w:p>
        </w:tc>
        <w:tc>
          <w:tcPr>
            <w:tcW w:w="2309" w:type="dxa"/>
            <w:noWrap w:val="0"/>
            <w:vAlign w:val="center"/>
          </w:tcPr>
          <w:p>
            <w:pPr>
              <w:keepNext w:val="0"/>
              <w:keepLines w:val="0"/>
              <w:pageBreakBefore w:val="0"/>
              <w:widowControl w:val="0"/>
              <w:kinsoku/>
              <w:wordWrap/>
              <w:overflowPunct/>
              <w:topLinePunct w:val="0"/>
              <w:autoSpaceDE/>
              <w:autoSpaceDN/>
              <w:bidi w:val="0"/>
              <w:spacing w:line="280" w:lineRule="exact"/>
              <w:ind w:firstLine="480" w:firstLineChars="200"/>
              <w:textAlignment w:val="auto"/>
              <w:rPr>
                <w:rFonts w:hint="eastAsia" w:ascii="仿宋_GB2312" w:eastAsia="仿宋_GB2312"/>
                <w:strike w:val="0"/>
                <w:dstrike w:val="0"/>
                <w:sz w:val="24"/>
                <w:szCs w:val="24"/>
              </w:rPr>
            </w:pPr>
            <w:r>
              <w:rPr>
                <w:rFonts w:hint="eastAsia" w:ascii="仿宋_GB2312" w:eastAsia="仿宋_GB2312"/>
                <w:strike w:val="0"/>
                <w:dstrike w:val="0"/>
                <w:sz w:val="24"/>
                <w:szCs w:val="24"/>
              </w:rPr>
              <w:t>300</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方正仿宋_GBK" w:hAnsi="方正仿宋_GBK" w:eastAsia="方正仿宋_GBK" w:cs="方正仿宋_GBK"/>
          <w:b/>
          <w:color w:val="auto"/>
          <w:sz w:val="30"/>
          <w:szCs w:val="30"/>
          <w:lang w:val="en-US" w:eastAsia="zh-CN"/>
        </w:rPr>
      </w:pPr>
      <w:r>
        <w:rPr>
          <w:rFonts w:hint="eastAsia" w:ascii="方正仿宋_GBK" w:hAnsi="方正仿宋_GBK" w:eastAsia="方正仿宋_GBK" w:cs="方正仿宋_GBK"/>
          <w:b/>
          <w:color w:val="auto"/>
          <w:sz w:val="30"/>
          <w:szCs w:val="30"/>
          <w:lang w:val="en-US" w:eastAsia="zh-CN"/>
        </w:rPr>
        <w:t>修订后的住宿标准：</w:t>
      </w:r>
    </w:p>
    <w:tbl>
      <w:tblPr>
        <w:tblStyle w:val="8"/>
        <w:tblW w:w="47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08"/>
        <w:gridCol w:w="2792"/>
        <w:gridCol w:w="1735"/>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2" w:type="dxa"/>
            <w:vMerge w:val="restart"/>
            <w:tcBorders>
              <w:tl2br w:val="nil"/>
              <w:tr2bl w:val="nil"/>
            </w:tcBorders>
            <w:noWrap w:val="0"/>
            <w:textDirection w:val="tbRlV"/>
            <w:vAlign w:val="center"/>
          </w:tcPr>
          <w:p>
            <w:pPr>
              <w:widowControl/>
              <w:spacing w:line="240" w:lineRule="exact"/>
              <w:jc w:val="center"/>
              <w:rPr>
                <w:b/>
                <w:bCs/>
                <w:color w:val="000000"/>
                <w:kern w:val="0"/>
                <w:sz w:val="21"/>
                <w:szCs w:val="21"/>
              </w:rPr>
            </w:pPr>
            <w:r>
              <w:rPr>
                <w:b/>
                <w:bCs/>
                <w:color w:val="000000"/>
                <w:kern w:val="0"/>
                <w:sz w:val="21"/>
                <w:szCs w:val="21"/>
              </w:rPr>
              <w:t>序号</w:t>
            </w:r>
          </w:p>
        </w:tc>
        <w:tc>
          <w:tcPr>
            <w:tcW w:w="4602" w:type="dxa"/>
            <w:gridSpan w:val="2"/>
            <w:vMerge w:val="restart"/>
            <w:tcBorders>
              <w:tl2br w:val="nil"/>
              <w:tr2bl w:val="nil"/>
            </w:tcBorders>
            <w:noWrap w:val="0"/>
            <w:vAlign w:val="center"/>
          </w:tcPr>
          <w:p>
            <w:pPr>
              <w:widowControl/>
              <w:spacing w:line="240" w:lineRule="exact"/>
              <w:jc w:val="center"/>
              <w:rPr>
                <w:b/>
                <w:bCs/>
                <w:color w:val="000000"/>
                <w:kern w:val="0"/>
                <w:sz w:val="21"/>
                <w:szCs w:val="21"/>
              </w:rPr>
            </w:pPr>
            <w:r>
              <w:rPr>
                <w:b/>
                <w:bCs/>
                <w:color w:val="000000"/>
                <w:kern w:val="0"/>
                <w:sz w:val="21"/>
                <w:szCs w:val="21"/>
              </w:rPr>
              <w:t>地区(城市)</w:t>
            </w:r>
          </w:p>
        </w:tc>
        <w:tc>
          <w:tcPr>
            <w:tcW w:w="3178" w:type="dxa"/>
            <w:gridSpan w:val="2"/>
            <w:tcBorders>
              <w:tl2br w:val="nil"/>
              <w:tr2bl w:val="nil"/>
            </w:tcBorders>
            <w:noWrap w:val="0"/>
            <w:vAlign w:val="center"/>
          </w:tcPr>
          <w:p>
            <w:pPr>
              <w:widowControl/>
              <w:spacing w:line="240" w:lineRule="exact"/>
              <w:jc w:val="center"/>
              <w:rPr>
                <w:b/>
                <w:color w:val="000000"/>
                <w:kern w:val="0"/>
                <w:sz w:val="21"/>
                <w:szCs w:val="21"/>
              </w:rPr>
            </w:pPr>
            <w:r>
              <w:rPr>
                <w:b/>
                <w:color w:val="000000"/>
                <w:kern w:val="0"/>
                <w:sz w:val="21"/>
                <w:szCs w:val="21"/>
              </w:rPr>
              <w:t>住宿费标准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82" w:type="dxa"/>
            <w:vMerge w:val="continue"/>
            <w:tcBorders>
              <w:tl2br w:val="nil"/>
              <w:tr2bl w:val="nil"/>
            </w:tcBorders>
            <w:noWrap w:val="0"/>
            <w:vAlign w:val="center"/>
          </w:tcPr>
          <w:p>
            <w:pPr>
              <w:widowControl/>
              <w:spacing w:line="240" w:lineRule="exact"/>
              <w:jc w:val="center"/>
              <w:rPr>
                <w:b/>
                <w:bCs/>
                <w:color w:val="000000"/>
                <w:kern w:val="0"/>
                <w:sz w:val="21"/>
                <w:szCs w:val="21"/>
              </w:rPr>
            </w:pPr>
          </w:p>
        </w:tc>
        <w:tc>
          <w:tcPr>
            <w:tcW w:w="4602" w:type="dxa"/>
            <w:gridSpan w:val="2"/>
            <w:vMerge w:val="continue"/>
            <w:tcBorders>
              <w:tl2br w:val="nil"/>
              <w:tr2bl w:val="nil"/>
            </w:tcBorders>
            <w:noWrap w:val="0"/>
            <w:vAlign w:val="center"/>
          </w:tcPr>
          <w:p>
            <w:pPr>
              <w:widowControl/>
              <w:spacing w:line="240" w:lineRule="exact"/>
              <w:jc w:val="center"/>
              <w:rPr>
                <w:b/>
                <w:bCs/>
                <w:color w:val="000000"/>
                <w:kern w:val="0"/>
                <w:sz w:val="21"/>
                <w:szCs w:val="21"/>
              </w:rPr>
            </w:pPr>
          </w:p>
        </w:tc>
        <w:tc>
          <w:tcPr>
            <w:tcW w:w="1735" w:type="dxa"/>
            <w:tcBorders>
              <w:tl2br w:val="nil"/>
              <w:tr2bl w:val="nil"/>
            </w:tcBorders>
            <w:noWrap w:val="0"/>
            <w:vAlign w:val="center"/>
          </w:tcPr>
          <w:p>
            <w:pPr>
              <w:widowControl/>
              <w:spacing w:line="240" w:lineRule="exact"/>
              <w:jc w:val="center"/>
              <w:rPr>
                <w:b/>
                <w:color w:val="000000"/>
                <w:kern w:val="0"/>
                <w:sz w:val="21"/>
                <w:szCs w:val="21"/>
              </w:rPr>
            </w:pPr>
            <w:r>
              <w:rPr>
                <w:b/>
                <w:color w:val="000000"/>
                <w:kern w:val="0"/>
                <w:sz w:val="21"/>
                <w:szCs w:val="21"/>
              </w:rPr>
              <w:t>正高职称人员及三、四级职员</w:t>
            </w:r>
          </w:p>
        </w:tc>
        <w:tc>
          <w:tcPr>
            <w:tcW w:w="1443" w:type="dxa"/>
            <w:tcBorders>
              <w:tl2br w:val="nil"/>
              <w:tr2bl w:val="nil"/>
            </w:tcBorders>
            <w:noWrap w:val="0"/>
            <w:vAlign w:val="center"/>
          </w:tcPr>
          <w:p>
            <w:pPr>
              <w:widowControl/>
              <w:spacing w:line="240" w:lineRule="exact"/>
              <w:jc w:val="center"/>
              <w:rPr>
                <w:b/>
                <w:color w:val="000000"/>
                <w:kern w:val="0"/>
                <w:sz w:val="21"/>
                <w:szCs w:val="21"/>
              </w:rPr>
            </w:pPr>
            <w:r>
              <w:rPr>
                <w:b/>
                <w:color w:val="000000"/>
                <w:kern w:val="0"/>
                <w:sz w:val="21"/>
                <w:szCs w:val="21"/>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tl2br w:val="nil"/>
              <w:tr2bl w:val="nil"/>
            </w:tcBorders>
            <w:noWrap w:val="0"/>
            <w:vAlign w:val="center"/>
          </w:tcPr>
          <w:p>
            <w:pPr>
              <w:widowControl/>
              <w:spacing w:line="240" w:lineRule="exact"/>
              <w:jc w:val="center"/>
              <w:rPr>
                <w:color w:val="000000"/>
                <w:kern w:val="0"/>
                <w:sz w:val="21"/>
                <w:szCs w:val="21"/>
              </w:rPr>
            </w:pPr>
            <w:r>
              <w:rPr>
                <w:color w:val="000000"/>
                <w:kern w:val="0"/>
                <w:sz w:val="21"/>
                <w:szCs w:val="21"/>
              </w:rPr>
              <w:t>1</w:t>
            </w:r>
          </w:p>
        </w:tc>
        <w:tc>
          <w:tcPr>
            <w:tcW w:w="1809" w:type="dxa"/>
            <w:tcBorders>
              <w:tl2br w:val="nil"/>
              <w:tr2bl w:val="nil"/>
            </w:tcBorders>
            <w:noWrap w:val="0"/>
            <w:vAlign w:val="center"/>
          </w:tcPr>
          <w:p>
            <w:pPr>
              <w:widowControl/>
              <w:spacing w:line="240" w:lineRule="exact"/>
              <w:jc w:val="center"/>
              <w:rPr>
                <w:color w:val="000000"/>
                <w:kern w:val="0"/>
                <w:sz w:val="21"/>
                <w:szCs w:val="21"/>
              </w:rPr>
            </w:pPr>
            <w:r>
              <w:rPr>
                <w:color w:val="000000"/>
                <w:kern w:val="0"/>
                <w:sz w:val="21"/>
                <w:szCs w:val="21"/>
              </w:rPr>
              <w:t>北京市</w:t>
            </w:r>
          </w:p>
        </w:tc>
        <w:tc>
          <w:tcPr>
            <w:tcW w:w="2793" w:type="dxa"/>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rPr>
            </w:pPr>
            <w:r>
              <w:rPr>
                <w:rFonts w:hint="eastAsia"/>
                <w:color w:val="000000"/>
                <w:kern w:val="0"/>
                <w:sz w:val="21"/>
                <w:szCs w:val="21"/>
                <w:lang w:val="en-US" w:eastAsia="zh-CN"/>
              </w:rPr>
              <w:t>全市</w:t>
            </w:r>
          </w:p>
        </w:tc>
        <w:tc>
          <w:tcPr>
            <w:tcW w:w="1735"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650</w:t>
            </w:r>
          </w:p>
        </w:tc>
        <w:tc>
          <w:tcPr>
            <w:tcW w:w="1443"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tl2br w:val="nil"/>
              <w:tr2bl w:val="nil"/>
            </w:tcBorders>
            <w:noWrap w:val="0"/>
            <w:vAlign w:val="center"/>
          </w:tcPr>
          <w:p>
            <w:pPr>
              <w:widowControl/>
              <w:spacing w:line="240" w:lineRule="exact"/>
              <w:jc w:val="center"/>
              <w:rPr>
                <w:color w:val="000000"/>
                <w:kern w:val="0"/>
                <w:sz w:val="21"/>
                <w:szCs w:val="21"/>
              </w:rPr>
            </w:pPr>
            <w:r>
              <w:rPr>
                <w:color w:val="000000"/>
                <w:kern w:val="0"/>
                <w:sz w:val="21"/>
                <w:szCs w:val="21"/>
              </w:rPr>
              <w:t>2</w:t>
            </w:r>
          </w:p>
        </w:tc>
        <w:tc>
          <w:tcPr>
            <w:tcW w:w="1809" w:type="dxa"/>
            <w:tcBorders>
              <w:tl2br w:val="nil"/>
              <w:tr2bl w:val="nil"/>
            </w:tcBorders>
            <w:noWrap w:val="0"/>
            <w:vAlign w:val="center"/>
          </w:tcPr>
          <w:p>
            <w:pPr>
              <w:widowControl/>
              <w:spacing w:line="240" w:lineRule="exact"/>
              <w:jc w:val="center"/>
              <w:rPr>
                <w:rFonts w:hint="eastAsia"/>
                <w:color w:val="000000"/>
                <w:kern w:val="0"/>
                <w:sz w:val="21"/>
                <w:szCs w:val="21"/>
                <w:lang w:val="en-US" w:eastAsia="zh-CN" w:bidi="ar-SA"/>
              </w:rPr>
            </w:pPr>
            <w:r>
              <w:rPr>
                <w:color w:val="000000"/>
                <w:kern w:val="0"/>
                <w:sz w:val="21"/>
                <w:szCs w:val="21"/>
              </w:rPr>
              <w:t>上海市</w:t>
            </w:r>
          </w:p>
        </w:tc>
        <w:tc>
          <w:tcPr>
            <w:tcW w:w="2793" w:type="dxa"/>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color w:val="000000"/>
                <w:kern w:val="0"/>
                <w:sz w:val="21"/>
                <w:szCs w:val="21"/>
                <w:lang w:eastAsia="zh-CN"/>
              </w:rPr>
              <w:t>全市</w:t>
            </w:r>
          </w:p>
        </w:tc>
        <w:tc>
          <w:tcPr>
            <w:tcW w:w="1735" w:type="dxa"/>
            <w:tcBorders>
              <w:tl2br w:val="nil"/>
              <w:tr2bl w:val="nil"/>
            </w:tcBorders>
            <w:noWrap w:val="0"/>
            <w:vAlign w:val="center"/>
          </w:tcPr>
          <w:p>
            <w:pPr>
              <w:widowControl/>
              <w:spacing w:line="240" w:lineRule="exact"/>
              <w:jc w:val="center"/>
              <w:rPr>
                <w:rFonts w:hint="default"/>
                <w:b w:val="0"/>
                <w:bCs w:val="0"/>
                <w:color w:val="000000"/>
                <w:kern w:val="0"/>
                <w:sz w:val="21"/>
                <w:szCs w:val="21"/>
                <w:lang w:val="en-US" w:eastAsia="zh-CN" w:bidi="ar-SA"/>
              </w:rPr>
            </w:pPr>
            <w:r>
              <w:rPr>
                <w:rFonts w:hint="eastAsia"/>
                <w:b w:val="0"/>
                <w:bCs w:val="0"/>
                <w:color w:val="000000"/>
                <w:kern w:val="0"/>
                <w:sz w:val="21"/>
                <w:szCs w:val="21"/>
                <w:lang w:val="en-US" w:eastAsia="zh-CN" w:bidi="ar-SA"/>
              </w:rPr>
              <w:t>600</w:t>
            </w:r>
          </w:p>
        </w:tc>
        <w:tc>
          <w:tcPr>
            <w:tcW w:w="1443" w:type="dxa"/>
            <w:tcBorders>
              <w:tl2br w:val="nil"/>
              <w:tr2bl w:val="nil"/>
            </w:tcBorders>
            <w:noWrap w:val="0"/>
            <w:vAlign w:val="center"/>
          </w:tcPr>
          <w:p>
            <w:pPr>
              <w:widowControl/>
              <w:spacing w:line="240" w:lineRule="exact"/>
              <w:jc w:val="center"/>
              <w:rPr>
                <w:rFonts w:hint="default"/>
                <w:b w:val="0"/>
                <w:bCs w:val="0"/>
                <w:color w:val="000000"/>
                <w:kern w:val="0"/>
                <w:sz w:val="21"/>
                <w:szCs w:val="21"/>
                <w:lang w:val="en-US" w:eastAsia="zh-CN" w:bidi="ar-SA"/>
              </w:rPr>
            </w:pPr>
            <w:r>
              <w:rPr>
                <w:rFonts w:hint="eastAsia"/>
                <w:b w:val="0"/>
                <w:bCs w:val="0"/>
                <w:color w:val="000000"/>
                <w:kern w:val="0"/>
                <w:sz w:val="21"/>
                <w:szCs w:val="21"/>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rPr>
            </w:pPr>
            <w:r>
              <w:rPr>
                <w:rFonts w:hint="eastAsia"/>
                <w:color w:val="000000"/>
                <w:kern w:val="0"/>
                <w:sz w:val="21"/>
                <w:szCs w:val="21"/>
                <w:lang w:val="en-US" w:eastAsia="zh-CN"/>
              </w:rPr>
              <w:t>3</w:t>
            </w:r>
          </w:p>
        </w:tc>
        <w:tc>
          <w:tcPr>
            <w:tcW w:w="1809" w:type="dxa"/>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bidi="ar-SA"/>
              </w:rPr>
            </w:pPr>
            <w:r>
              <w:rPr>
                <w:color w:val="000000"/>
                <w:kern w:val="0"/>
                <w:sz w:val="21"/>
                <w:szCs w:val="21"/>
              </w:rPr>
              <w:t>广东省</w:t>
            </w:r>
          </w:p>
        </w:tc>
        <w:tc>
          <w:tcPr>
            <w:tcW w:w="2793" w:type="dxa"/>
            <w:tcBorders>
              <w:tl2br w:val="nil"/>
              <w:tr2bl w:val="nil"/>
            </w:tcBorders>
            <w:noWrap w:val="0"/>
            <w:vAlign w:val="center"/>
          </w:tcPr>
          <w:p>
            <w:pPr>
              <w:widowControl/>
              <w:spacing w:line="240" w:lineRule="exact"/>
              <w:jc w:val="center"/>
              <w:rPr>
                <w:rFonts w:hint="eastAsia" w:eastAsiaTheme="minorEastAsia"/>
                <w:color w:val="000000"/>
                <w:kern w:val="0"/>
                <w:sz w:val="21"/>
                <w:szCs w:val="21"/>
                <w:lang w:val="en-US" w:eastAsia="zh-CN" w:bidi="ar-SA"/>
              </w:rPr>
            </w:pPr>
            <w:r>
              <w:rPr>
                <w:rFonts w:hint="eastAsia"/>
                <w:color w:val="000000"/>
                <w:kern w:val="0"/>
                <w:sz w:val="21"/>
                <w:szCs w:val="21"/>
                <w:lang w:eastAsia="zh-CN"/>
              </w:rPr>
              <w:t>全省</w:t>
            </w:r>
          </w:p>
        </w:tc>
        <w:tc>
          <w:tcPr>
            <w:tcW w:w="1735" w:type="dxa"/>
            <w:tcBorders>
              <w:tl2br w:val="nil"/>
              <w:tr2bl w:val="nil"/>
            </w:tcBorders>
            <w:noWrap w:val="0"/>
            <w:vAlign w:val="center"/>
          </w:tcPr>
          <w:p>
            <w:pPr>
              <w:widowControl/>
              <w:spacing w:line="240" w:lineRule="exact"/>
              <w:jc w:val="center"/>
              <w:rPr>
                <w:rFonts w:hint="default"/>
                <w:b w:val="0"/>
                <w:bCs w:val="0"/>
                <w:color w:val="000000"/>
                <w:kern w:val="0"/>
                <w:sz w:val="21"/>
                <w:szCs w:val="21"/>
                <w:lang w:val="en-US" w:eastAsia="zh-CN" w:bidi="ar-SA"/>
              </w:rPr>
            </w:pPr>
            <w:r>
              <w:rPr>
                <w:rFonts w:hint="eastAsia"/>
                <w:b w:val="0"/>
                <w:bCs w:val="0"/>
                <w:color w:val="000000"/>
                <w:kern w:val="0"/>
                <w:sz w:val="21"/>
                <w:szCs w:val="21"/>
                <w:lang w:val="en-US" w:eastAsia="zh-CN" w:bidi="ar-SA"/>
              </w:rPr>
              <w:t>530</w:t>
            </w:r>
          </w:p>
        </w:tc>
        <w:tc>
          <w:tcPr>
            <w:tcW w:w="1443" w:type="dxa"/>
            <w:tcBorders>
              <w:tl2br w:val="nil"/>
              <w:tr2bl w:val="nil"/>
            </w:tcBorders>
            <w:noWrap w:val="0"/>
            <w:vAlign w:val="center"/>
          </w:tcPr>
          <w:p>
            <w:pPr>
              <w:widowControl/>
              <w:spacing w:line="240" w:lineRule="exact"/>
              <w:jc w:val="center"/>
              <w:rPr>
                <w:rFonts w:hint="default"/>
                <w:b w:val="0"/>
                <w:bCs w:val="0"/>
                <w:color w:val="000000"/>
                <w:kern w:val="0"/>
                <w:sz w:val="21"/>
                <w:szCs w:val="21"/>
                <w:lang w:val="en-US" w:eastAsia="zh-CN" w:bidi="ar-SA"/>
              </w:rPr>
            </w:pPr>
            <w:r>
              <w:rPr>
                <w:rFonts w:hint="eastAsia"/>
                <w:b w:val="0"/>
                <w:bCs w:val="0"/>
                <w:color w:val="000000"/>
                <w:kern w:val="0"/>
                <w:sz w:val="21"/>
                <w:szCs w:val="21"/>
                <w:lang w:val="en-US" w:eastAsia="zh-CN" w:bidi="ar-S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vMerge w:val="restart"/>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rPr>
            </w:pPr>
            <w:r>
              <w:rPr>
                <w:rFonts w:hint="eastAsia"/>
                <w:color w:val="000000"/>
                <w:kern w:val="0"/>
                <w:sz w:val="21"/>
                <w:szCs w:val="21"/>
                <w:lang w:val="en-US" w:eastAsia="zh-CN"/>
              </w:rPr>
              <w:t>4</w:t>
            </w:r>
          </w:p>
        </w:tc>
        <w:tc>
          <w:tcPr>
            <w:tcW w:w="1809" w:type="dxa"/>
            <w:vMerge w:val="restart"/>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color w:val="000000"/>
                <w:kern w:val="0"/>
                <w:sz w:val="21"/>
                <w:szCs w:val="21"/>
                <w:lang w:eastAsia="zh-CN"/>
              </w:rPr>
              <w:t>海南省</w:t>
            </w:r>
          </w:p>
        </w:tc>
        <w:tc>
          <w:tcPr>
            <w:tcW w:w="2793" w:type="dxa"/>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eastAsia="宋体"/>
                <w:color w:val="000000"/>
                <w:kern w:val="0"/>
                <w:sz w:val="21"/>
                <w:szCs w:val="21"/>
                <w:lang w:val="en-US" w:eastAsia="zh-CN" w:bidi="ar-SA"/>
              </w:rPr>
              <w:t>全省（除三亚市）</w:t>
            </w:r>
          </w:p>
        </w:tc>
        <w:tc>
          <w:tcPr>
            <w:tcW w:w="1735" w:type="dxa"/>
            <w:tcBorders>
              <w:tl2br w:val="nil"/>
              <w:tr2bl w:val="nil"/>
            </w:tcBorders>
            <w:noWrap w:val="0"/>
            <w:vAlign w:val="center"/>
          </w:tcPr>
          <w:p>
            <w:pPr>
              <w:widowControl/>
              <w:spacing w:line="240" w:lineRule="exact"/>
              <w:jc w:val="center"/>
              <w:rPr>
                <w:rFonts w:hint="default"/>
                <w:b w:val="0"/>
                <w:bCs w:val="0"/>
                <w:color w:val="000000"/>
                <w:kern w:val="0"/>
                <w:sz w:val="21"/>
                <w:szCs w:val="21"/>
                <w:lang w:val="en-US" w:eastAsia="zh-CN" w:bidi="ar-SA"/>
              </w:rPr>
            </w:pPr>
            <w:r>
              <w:rPr>
                <w:rFonts w:hint="eastAsia"/>
                <w:b w:val="0"/>
                <w:bCs w:val="0"/>
                <w:color w:val="000000"/>
                <w:kern w:val="0"/>
                <w:sz w:val="21"/>
                <w:szCs w:val="21"/>
                <w:lang w:val="en-US" w:eastAsia="zh-CN" w:bidi="ar-SA"/>
              </w:rPr>
              <w:t>500</w:t>
            </w:r>
          </w:p>
        </w:tc>
        <w:tc>
          <w:tcPr>
            <w:tcW w:w="1443" w:type="dxa"/>
            <w:tcBorders>
              <w:tl2br w:val="nil"/>
              <w:tr2bl w:val="nil"/>
            </w:tcBorders>
            <w:noWrap w:val="0"/>
            <w:vAlign w:val="center"/>
          </w:tcPr>
          <w:p>
            <w:pPr>
              <w:widowControl/>
              <w:spacing w:line="240" w:lineRule="exact"/>
              <w:jc w:val="center"/>
              <w:rPr>
                <w:rFonts w:hint="default"/>
                <w:b w:val="0"/>
                <w:bCs w:val="0"/>
                <w:color w:val="000000"/>
                <w:kern w:val="0"/>
                <w:sz w:val="21"/>
                <w:szCs w:val="21"/>
                <w:lang w:val="en-US" w:eastAsia="zh-CN" w:bidi="ar-SA"/>
              </w:rPr>
            </w:pPr>
            <w:r>
              <w:rPr>
                <w:rFonts w:hint="eastAsia"/>
                <w:b w:val="0"/>
                <w:bCs w:val="0"/>
                <w:color w:val="000000"/>
                <w:kern w:val="0"/>
                <w:sz w:val="21"/>
                <w:szCs w:val="21"/>
                <w:lang w:val="en-US" w:eastAsia="zh-CN" w:bidi="ar-S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vMerge w:val="continue"/>
            <w:tcBorders>
              <w:tl2br w:val="nil"/>
              <w:tr2bl w:val="nil"/>
            </w:tcBorders>
            <w:noWrap w:val="0"/>
            <w:vAlign w:val="center"/>
          </w:tcPr>
          <w:p>
            <w:pPr>
              <w:widowControl/>
              <w:spacing w:line="240" w:lineRule="exact"/>
              <w:jc w:val="center"/>
              <w:rPr>
                <w:color w:val="000000"/>
                <w:kern w:val="0"/>
                <w:sz w:val="21"/>
                <w:szCs w:val="21"/>
              </w:rPr>
            </w:pPr>
          </w:p>
        </w:tc>
        <w:tc>
          <w:tcPr>
            <w:tcW w:w="1809" w:type="dxa"/>
            <w:vMerge w:val="continue"/>
            <w:tcBorders>
              <w:tl2br w:val="nil"/>
              <w:tr2bl w:val="nil"/>
            </w:tcBorders>
            <w:noWrap w:val="0"/>
            <w:vAlign w:val="center"/>
          </w:tcPr>
          <w:p>
            <w:pPr>
              <w:widowControl/>
              <w:spacing w:line="240" w:lineRule="exact"/>
              <w:jc w:val="center"/>
              <w:rPr>
                <w:rFonts w:hint="eastAsia"/>
                <w:color w:val="000000"/>
                <w:kern w:val="0"/>
                <w:sz w:val="21"/>
                <w:szCs w:val="21"/>
                <w:lang w:eastAsia="zh-CN"/>
              </w:rPr>
            </w:pPr>
          </w:p>
        </w:tc>
        <w:tc>
          <w:tcPr>
            <w:tcW w:w="2793" w:type="dxa"/>
            <w:tcBorders>
              <w:tl2br w:val="nil"/>
              <w:tr2bl w:val="nil"/>
            </w:tcBorders>
            <w:noWrap w:val="0"/>
            <w:vAlign w:val="center"/>
          </w:tcPr>
          <w:p>
            <w:pPr>
              <w:widowControl/>
              <w:spacing w:line="240" w:lineRule="exact"/>
              <w:jc w:val="center"/>
              <w:rPr>
                <w:rFonts w:hint="eastAsia" w:eastAsia="宋体"/>
                <w:color w:val="000000"/>
                <w:kern w:val="0"/>
                <w:sz w:val="21"/>
                <w:szCs w:val="21"/>
                <w:lang w:eastAsia="zh-CN"/>
              </w:rPr>
            </w:pPr>
            <w:r>
              <w:rPr>
                <w:rFonts w:hint="eastAsia"/>
                <w:color w:val="000000"/>
                <w:kern w:val="0"/>
                <w:sz w:val="21"/>
                <w:szCs w:val="21"/>
                <w:lang w:eastAsia="zh-CN"/>
              </w:rPr>
              <w:t>三亚市</w:t>
            </w:r>
          </w:p>
        </w:tc>
        <w:tc>
          <w:tcPr>
            <w:tcW w:w="1735" w:type="dxa"/>
            <w:tcBorders>
              <w:tl2br w:val="nil"/>
              <w:tr2bl w:val="nil"/>
            </w:tcBorders>
            <w:noWrap w:val="0"/>
            <w:vAlign w:val="center"/>
          </w:tcPr>
          <w:p>
            <w:pPr>
              <w:widowControl/>
              <w:spacing w:line="240" w:lineRule="exact"/>
              <w:jc w:val="center"/>
              <w:rPr>
                <w:rFonts w:hint="default"/>
                <w:b w:val="0"/>
                <w:bCs w:val="0"/>
                <w:color w:val="000000"/>
                <w:kern w:val="0"/>
                <w:sz w:val="21"/>
                <w:szCs w:val="21"/>
                <w:lang w:val="en-US" w:eastAsia="zh-CN" w:bidi="ar-SA"/>
              </w:rPr>
            </w:pPr>
            <w:r>
              <w:rPr>
                <w:rFonts w:hint="eastAsia"/>
                <w:b w:val="0"/>
                <w:bCs w:val="0"/>
                <w:color w:val="000000"/>
                <w:kern w:val="0"/>
                <w:sz w:val="21"/>
                <w:szCs w:val="21"/>
                <w:lang w:val="en-US" w:eastAsia="zh-CN" w:bidi="ar-SA"/>
              </w:rPr>
              <w:t>600</w:t>
            </w:r>
          </w:p>
        </w:tc>
        <w:tc>
          <w:tcPr>
            <w:tcW w:w="1443" w:type="dxa"/>
            <w:tcBorders>
              <w:tl2br w:val="nil"/>
              <w:tr2bl w:val="nil"/>
            </w:tcBorders>
            <w:noWrap w:val="0"/>
            <w:vAlign w:val="center"/>
          </w:tcPr>
          <w:p>
            <w:pPr>
              <w:widowControl/>
              <w:spacing w:line="240" w:lineRule="exact"/>
              <w:jc w:val="center"/>
              <w:rPr>
                <w:rFonts w:hint="default"/>
                <w:b w:val="0"/>
                <w:bCs w:val="0"/>
                <w:color w:val="000000"/>
                <w:kern w:val="0"/>
                <w:sz w:val="21"/>
                <w:szCs w:val="21"/>
                <w:lang w:val="en-US" w:eastAsia="zh-CN" w:bidi="ar-SA"/>
              </w:rPr>
            </w:pPr>
            <w:r>
              <w:rPr>
                <w:rFonts w:hint="eastAsia"/>
                <w:b w:val="0"/>
                <w:bCs w:val="0"/>
                <w:color w:val="000000"/>
                <w:kern w:val="0"/>
                <w:sz w:val="21"/>
                <w:szCs w:val="21"/>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vMerge w:val="restart"/>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rPr>
            </w:pPr>
            <w:r>
              <w:rPr>
                <w:rFonts w:hint="eastAsia"/>
                <w:color w:val="000000"/>
                <w:kern w:val="0"/>
                <w:sz w:val="21"/>
                <w:szCs w:val="21"/>
                <w:lang w:val="en-US" w:eastAsia="zh-CN"/>
              </w:rPr>
              <w:t>5</w:t>
            </w:r>
          </w:p>
        </w:tc>
        <w:tc>
          <w:tcPr>
            <w:tcW w:w="1809" w:type="dxa"/>
            <w:vMerge w:val="restart"/>
            <w:tcBorders>
              <w:tl2br w:val="nil"/>
              <w:tr2bl w:val="nil"/>
            </w:tcBorders>
            <w:noWrap w:val="0"/>
            <w:vAlign w:val="center"/>
          </w:tcPr>
          <w:p>
            <w:pPr>
              <w:widowControl/>
              <w:spacing w:line="240" w:lineRule="exact"/>
              <w:jc w:val="center"/>
              <w:rPr>
                <w:rFonts w:hint="eastAsia" w:eastAsia="宋体"/>
                <w:color w:val="000000"/>
                <w:kern w:val="0"/>
                <w:sz w:val="21"/>
                <w:szCs w:val="21"/>
                <w:lang w:eastAsia="zh-CN"/>
              </w:rPr>
            </w:pPr>
            <w:r>
              <w:rPr>
                <w:rFonts w:hint="eastAsia"/>
                <w:color w:val="000000"/>
                <w:kern w:val="0"/>
                <w:sz w:val="21"/>
                <w:szCs w:val="21"/>
                <w:lang w:eastAsia="zh-CN"/>
              </w:rPr>
              <w:t>计划单列市</w:t>
            </w:r>
          </w:p>
        </w:tc>
        <w:tc>
          <w:tcPr>
            <w:tcW w:w="2793" w:type="dxa"/>
            <w:tcBorders>
              <w:tl2br w:val="nil"/>
              <w:tr2bl w:val="nil"/>
            </w:tcBorders>
            <w:noWrap w:val="0"/>
            <w:vAlign w:val="center"/>
          </w:tcPr>
          <w:p>
            <w:pPr>
              <w:widowControl/>
              <w:spacing w:line="240" w:lineRule="exact"/>
              <w:jc w:val="center"/>
              <w:rPr>
                <w:rFonts w:hint="eastAsia" w:eastAsia="宋体"/>
                <w:color w:val="000000"/>
                <w:kern w:val="0"/>
                <w:sz w:val="21"/>
                <w:szCs w:val="21"/>
                <w:lang w:eastAsia="zh-CN"/>
              </w:rPr>
            </w:pPr>
            <w:r>
              <w:rPr>
                <w:rFonts w:hint="eastAsia"/>
                <w:color w:val="000000"/>
                <w:kern w:val="0"/>
                <w:sz w:val="21"/>
                <w:szCs w:val="21"/>
                <w:lang w:eastAsia="zh-CN"/>
              </w:rPr>
              <w:t>深圳市</w:t>
            </w:r>
          </w:p>
        </w:tc>
        <w:tc>
          <w:tcPr>
            <w:tcW w:w="1735"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550</w:t>
            </w:r>
          </w:p>
        </w:tc>
        <w:tc>
          <w:tcPr>
            <w:tcW w:w="1443"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vMerge w:val="continue"/>
            <w:tcBorders>
              <w:tl2br w:val="nil"/>
              <w:tr2bl w:val="nil"/>
            </w:tcBorders>
            <w:noWrap w:val="0"/>
            <w:vAlign w:val="center"/>
          </w:tcPr>
          <w:p>
            <w:pPr>
              <w:widowControl/>
              <w:spacing w:line="240" w:lineRule="exact"/>
              <w:jc w:val="center"/>
              <w:rPr>
                <w:color w:val="000000"/>
                <w:kern w:val="0"/>
                <w:sz w:val="21"/>
                <w:szCs w:val="21"/>
              </w:rPr>
            </w:pPr>
          </w:p>
        </w:tc>
        <w:tc>
          <w:tcPr>
            <w:tcW w:w="1809" w:type="dxa"/>
            <w:vMerge w:val="continue"/>
            <w:tcBorders>
              <w:tl2br w:val="nil"/>
              <w:tr2bl w:val="nil"/>
            </w:tcBorders>
            <w:noWrap w:val="0"/>
            <w:vAlign w:val="center"/>
          </w:tcPr>
          <w:p>
            <w:pPr>
              <w:widowControl/>
              <w:spacing w:line="240" w:lineRule="exact"/>
              <w:jc w:val="center"/>
              <w:rPr>
                <w:rFonts w:hint="eastAsia"/>
                <w:color w:val="000000"/>
                <w:kern w:val="0"/>
                <w:sz w:val="21"/>
                <w:szCs w:val="21"/>
                <w:lang w:eastAsia="zh-CN"/>
              </w:rPr>
            </w:pPr>
          </w:p>
        </w:tc>
        <w:tc>
          <w:tcPr>
            <w:tcW w:w="2793" w:type="dxa"/>
            <w:tcBorders>
              <w:tl2br w:val="nil"/>
              <w:tr2bl w:val="nil"/>
            </w:tcBorders>
            <w:noWrap w:val="0"/>
            <w:vAlign w:val="center"/>
          </w:tcPr>
          <w:p>
            <w:pPr>
              <w:widowControl/>
              <w:spacing w:line="240" w:lineRule="exact"/>
              <w:jc w:val="center"/>
              <w:rPr>
                <w:rFonts w:hint="eastAsia"/>
                <w:color w:val="000000"/>
                <w:kern w:val="0"/>
                <w:sz w:val="21"/>
                <w:szCs w:val="21"/>
                <w:lang w:val="en-US" w:eastAsia="zh-CN" w:bidi="ar-SA"/>
              </w:rPr>
            </w:pPr>
            <w:r>
              <w:rPr>
                <w:color w:val="000000"/>
                <w:kern w:val="0"/>
                <w:sz w:val="21"/>
                <w:szCs w:val="21"/>
              </w:rPr>
              <w:t>厦门市</w:t>
            </w:r>
          </w:p>
        </w:tc>
        <w:tc>
          <w:tcPr>
            <w:tcW w:w="1735"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500</w:t>
            </w:r>
          </w:p>
        </w:tc>
        <w:tc>
          <w:tcPr>
            <w:tcW w:w="1443"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vMerge w:val="continue"/>
            <w:tcBorders>
              <w:tl2br w:val="nil"/>
              <w:tr2bl w:val="nil"/>
            </w:tcBorders>
            <w:noWrap w:val="0"/>
            <w:vAlign w:val="center"/>
          </w:tcPr>
          <w:p>
            <w:pPr>
              <w:widowControl/>
              <w:spacing w:line="240" w:lineRule="exact"/>
              <w:jc w:val="center"/>
              <w:rPr>
                <w:color w:val="000000"/>
                <w:kern w:val="0"/>
                <w:sz w:val="21"/>
                <w:szCs w:val="21"/>
              </w:rPr>
            </w:pPr>
          </w:p>
        </w:tc>
        <w:tc>
          <w:tcPr>
            <w:tcW w:w="1809" w:type="dxa"/>
            <w:vMerge w:val="continue"/>
            <w:tcBorders>
              <w:tl2br w:val="nil"/>
              <w:tr2bl w:val="nil"/>
            </w:tcBorders>
            <w:noWrap w:val="0"/>
            <w:vAlign w:val="center"/>
          </w:tcPr>
          <w:p>
            <w:pPr>
              <w:widowControl/>
              <w:spacing w:line="240" w:lineRule="exact"/>
              <w:jc w:val="center"/>
              <w:rPr>
                <w:rFonts w:hint="eastAsia"/>
                <w:color w:val="000000"/>
                <w:kern w:val="0"/>
                <w:sz w:val="21"/>
                <w:szCs w:val="21"/>
                <w:lang w:eastAsia="zh-CN"/>
              </w:rPr>
            </w:pPr>
          </w:p>
        </w:tc>
        <w:tc>
          <w:tcPr>
            <w:tcW w:w="2793" w:type="dxa"/>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bidi="ar-SA"/>
              </w:rPr>
            </w:pPr>
            <w:r>
              <w:rPr>
                <w:color w:val="000000"/>
                <w:kern w:val="0"/>
                <w:sz w:val="21"/>
                <w:szCs w:val="21"/>
              </w:rPr>
              <w:t>青岛市</w:t>
            </w:r>
          </w:p>
        </w:tc>
        <w:tc>
          <w:tcPr>
            <w:tcW w:w="1735"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490</w:t>
            </w:r>
          </w:p>
        </w:tc>
        <w:tc>
          <w:tcPr>
            <w:tcW w:w="1443"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vMerge w:val="continue"/>
            <w:tcBorders>
              <w:tl2br w:val="nil"/>
              <w:tr2bl w:val="nil"/>
            </w:tcBorders>
            <w:noWrap w:val="0"/>
            <w:vAlign w:val="center"/>
          </w:tcPr>
          <w:p>
            <w:pPr>
              <w:widowControl/>
              <w:spacing w:line="240" w:lineRule="exact"/>
              <w:jc w:val="center"/>
              <w:rPr>
                <w:color w:val="000000"/>
                <w:kern w:val="0"/>
                <w:sz w:val="21"/>
                <w:szCs w:val="21"/>
              </w:rPr>
            </w:pPr>
          </w:p>
        </w:tc>
        <w:tc>
          <w:tcPr>
            <w:tcW w:w="1809" w:type="dxa"/>
            <w:vMerge w:val="continue"/>
            <w:tcBorders>
              <w:tl2br w:val="nil"/>
              <w:tr2bl w:val="nil"/>
            </w:tcBorders>
            <w:noWrap w:val="0"/>
            <w:vAlign w:val="center"/>
          </w:tcPr>
          <w:p>
            <w:pPr>
              <w:widowControl/>
              <w:spacing w:line="240" w:lineRule="exact"/>
              <w:jc w:val="center"/>
              <w:rPr>
                <w:rFonts w:hint="eastAsia"/>
                <w:color w:val="000000"/>
                <w:kern w:val="0"/>
                <w:sz w:val="21"/>
                <w:szCs w:val="21"/>
                <w:lang w:eastAsia="zh-CN"/>
              </w:rPr>
            </w:pPr>
          </w:p>
        </w:tc>
        <w:tc>
          <w:tcPr>
            <w:tcW w:w="2793" w:type="dxa"/>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bidi="ar-SA"/>
              </w:rPr>
            </w:pPr>
            <w:r>
              <w:rPr>
                <w:color w:val="000000"/>
                <w:kern w:val="0"/>
                <w:sz w:val="21"/>
                <w:szCs w:val="21"/>
              </w:rPr>
              <w:t>大连市</w:t>
            </w:r>
          </w:p>
        </w:tc>
        <w:tc>
          <w:tcPr>
            <w:tcW w:w="1735"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490</w:t>
            </w:r>
          </w:p>
        </w:tc>
        <w:tc>
          <w:tcPr>
            <w:tcW w:w="1443"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rPr>
            </w:pPr>
            <w:r>
              <w:rPr>
                <w:rFonts w:hint="eastAsia"/>
                <w:color w:val="000000"/>
                <w:kern w:val="0"/>
                <w:sz w:val="21"/>
                <w:szCs w:val="21"/>
                <w:lang w:val="en-US" w:eastAsia="zh-CN"/>
              </w:rPr>
              <w:t>6</w:t>
            </w:r>
          </w:p>
        </w:tc>
        <w:tc>
          <w:tcPr>
            <w:tcW w:w="1809" w:type="dxa"/>
            <w:tcBorders>
              <w:tl2br w:val="nil"/>
              <w:tr2bl w:val="nil"/>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color w:val="000000"/>
                <w:kern w:val="0"/>
                <w:sz w:val="21"/>
                <w:szCs w:val="21"/>
                <w:lang w:eastAsia="zh-CN"/>
              </w:rPr>
              <w:t>其他省市自治区</w:t>
            </w:r>
          </w:p>
        </w:tc>
        <w:tc>
          <w:tcPr>
            <w:tcW w:w="2793" w:type="dxa"/>
            <w:tcBorders>
              <w:tl2br w:val="nil"/>
              <w:tr2bl w:val="nil"/>
            </w:tcBorders>
            <w:noWrap w:val="0"/>
            <w:vAlign w:val="center"/>
          </w:tcPr>
          <w:p>
            <w:pPr>
              <w:widowControl/>
              <w:spacing w:line="240" w:lineRule="exact"/>
              <w:jc w:val="center"/>
              <w:rPr>
                <w:rFonts w:hint="eastAsia"/>
                <w:color w:val="000000"/>
                <w:kern w:val="0"/>
                <w:sz w:val="24"/>
                <w:szCs w:val="24"/>
                <w:lang w:val="en-US" w:eastAsia="zh-CN" w:bidi="ar-SA"/>
              </w:rPr>
            </w:pPr>
          </w:p>
        </w:tc>
        <w:tc>
          <w:tcPr>
            <w:tcW w:w="1735" w:type="dxa"/>
            <w:tcBorders>
              <w:tl2br w:val="nil"/>
              <w:tr2bl w:val="nil"/>
            </w:tcBorders>
            <w:noWrap w:val="0"/>
            <w:vAlign w:val="center"/>
          </w:tcPr>
          <w:p>
            <w:pPr>
              <w:widowControl/>
              <w:spacing w:line="240" w:lineRule="exact"/>
              <w:jc w:val="center"/>
              <w:rPr>
                <w:rFonts w:hint="default"/>
                <w:b w:val="0"/>
                <w:bCs w:val="0"/>
                <w:color w:val="000000"/>
                <w:kern w:val="0"/>
                <w:sz w:val="21"/>
                <w:szCs w:val="21"/>
                <w:lang w:val="en-US" w:eastAsia="zh-CN" w:bidi="ar-SA"/>
              </w:rPr>
            </w:pPr>
            <w:r>
              <w:rPr>
                <w:rFonts w:hint="eastAsia"/>
                <w:b w:val="0"/>
                <w:bCs w:val="0"/>
                <w:color w:val="000000"/>
                <w:kern w:val="0"/>
                <w:sz w:val="21"/>
                <w:szCs w:val="21"/>
                <w:lang w:val="en-US" w:eastAsia="zh-CN" w:bidi="ar-SA"/>
              </w:rPr>
              <w:t>480</w:t>
            </w:r>
          </w:p>
        </w:tc>
        <w:tc>
          <w:tcPr>
            <w:tcW w:w="1443"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vMerge w:val="restart"/>
            <w:tcBorders>
              <w:tl2br w:val="nil"/>
              <w:tr2bl w:val="nil"/>
            </w:tcBorders>
            <w:noWrap w:val="0"/>
            <w:vAlign w:val="center"/>
          </w:tcPr>
          <w:p>
            <w:pPr>
              <w:widowControl/>
              <w:spacing w:line="240" w:lineRule="exact"/>
              <w:jc w:val="center"/>
              <w:rPr>
                <w:rFonts w:hint="eastAsia" w:eastAsia="宋体"/>
                <w:color w:val="000000"/>
                <w:kern w:val="0"/>
                <w:sz w:val="21"/>
                <w:szCs w:val="21"/>
                <w:lang w:eastAsia="zh-CN"/>
              </w:rPr>
            </w:pPr>
            <w:r>
              <w:rPr>
                <w:rFonts w:hint="eastAsia"/>
                <w:color w:val="000000"/>
                <w:kern w:val="0"/>
                <w:sz w:val="21"/>
                <w:szCs w:val="21"/>
                <w:lang w:val="en-US" w:eastAsia="zh-CN"/>
              </w:rPr>
              <w:t>7</w:t>
            </w:r>
          </w:p>
        </w:tc>
        <w:tc>
          <w:tcPr>
            <w:tcW w:w="1809" w:type="dxa"/>
            <w:vMerge w:val="restart"/>
            <w:tcBorders>
              <w:tl2br w:val="nil"/>
              <w:tr2bl w:val="nil"/>
            </w:tcBorders>
            <w:noWrap w:val="0"/>
            <w:vAlign w:val="center"/>
          </w:tcPr>
          <w:p>
            <w:pPr>
              <w:widowControl/>
              <w:spacing w:line="240" w:lineRule="exact"/>
              <w:jc w:val="center"/>
              <w:rPr>
                <w:rFonts w:hint="eastAsia" w:eastAsia="宋体"/>
                <w:color w:val="000000"/>
                <w:kern w:val="0"/>
                <w:sz w:val="21"/>
                <w:szCs w:val="21"/>
                <w:lang w:eastAsia="zh-CN"/>
              </w:rPr>
            </w:pPr>
            <w:r>
              <w:rPr>
                <w:color w:val="000000"/>
                <w:kern w:val="0"/>
                <w:sz w:val="21"/>
                <w:szCs w:val="21"/>
              </w:rPr>
              <w:t>重庆市</w:t>
            </w:r>
          </w:p>
        </w:tc>
        <w:tc>
          <w:tcPr>
            <w:tcW w:w="2793" w:type="dxa"/>
            <w:tcBorders>
              <w:tl2br w:val="nil"/>
              <w:tr2bl w:val="nil"/>
            </w:tcBorders>
            <w:noWrap w:val="0"/>
            <w:vAlign w:val="center"/>
          </w:tcPr>
          <w:p>
            <w:pPr>
              <w:widowControl/>
              <w:spacing w:line="240" w:lineRule="exact"/>
              <w:jc w:val="center"/>
              <w:rPr>
                <w:rFonts w:hint="eastAsia" w:eastAsia="宋体"/>
                <w:color w:val="000000"/>
                <w:kern w:val="0"/>
                <w:sz w:val="21"/>
                <w:szCs w:val="21"/>
                <w:lang w:eastAsia="zh-CN"/>
              </w:rPr>
            </w:pPr>
            <w:r>
              <w:rPr>
                <w:rFonts w:hint="eastAsia"/>
                <w:color w:val="000000"/>
                <w:kern w:val="0"/>
                <w:sz w:val="21"/>
                <w:szCs w:val="21"/>
              </w:rPr>
              <w:t>9个中心城区、北部新区</w:t>
            </w:r>
          </w:p>
        </w:tc>
        <w:tc>
          <w:tcPr>
            <w:tcW w:w="1735" w:type="dxa"/>
            <w:tcBorders>
              <w:tl2br w:val="nil"/>
              <w:tr2bl w:val="nil"/>
            </w:tcBorders>
            <w:noWrap w:val="0"/>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480</w:t>
            </w:r>
          </w:p>
        </w:tc>
        <w:tc>
          <w:tcPr>
            <w:tcW w:w="1443" w:type="dxa"/>
            <w:tcBorders>
              <w:tl2br w:val="nil"/>
              <w:tr2bl w:val="nil"/>
            </w:tcBorders>
            <w:noWrap/>
            <w:vAlign w:val="center"/>
          </w:tcPr>
          <w:p>
            <w:pPr>
              <w:widowControl/>
              <w:spacing w:line="240" w:lineRule="exact"/>
              <w:jc w:val="center"/>
              <w:rPr>
                <w:rFonts w:hint="eastAsia"/>
                <w:b w:val="0"/>
                <w:bCs w:val="0"/>
                <w:color w:val="000000"/>
                <w:kern w:val="0"/>
                <w:sz w:val="21"/>
                <w:szCs w:val="21"/>
                <w:lang w:val="en-US" w:eastAsia="zh-CN" w:bidi="ar-SA"/>
              </w:rPr>
            </w:pPr>
            <w:r>
              <w:rPr>
                <w:rFonts w:hint="eastAsia"/>
                <w:b w:val="0"/>
                <w:bCs w:val="0"/>
                <w:color w:val="000000"/>
                <w:kern w:val="0"/>
                <w:sz w:val="21"/>
                <w:szCs w:val="21"/>
                <w:lang w:val="en-US" w:eastAsia="zh-CN" w:bidi="ar-S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vMerge w:val="continue"/>
            <w:tcBorders>
              <w:tl2br w:val="nil"/>
              <w:tr2bl w:val="nil"/>
            </w:tcBorders>
            <w:noWrap w:val="0"/>
            <w:vAlign w:val="center"/>
          </w:tcPr>
          <w:p>
            <w:pPr>
              <w:widowControl/>
              <w:spacing w:line="240" w:lineRule="exact"/>
              <w:jc w:val="center"/>
              <w:rPr>
                <w:color w:val="000000"/>
                <w:kern w:val="0"/>
                <w:sz w:val="21"/>
                <w:szCs w:val="21"/>
              </w:rPr>
            </w:pPr>
          </w:p>
        </w:tc>
        <w:tc>
          <w:tcPr>
            <w:tcW w:w="1809" w:type="dxa"/>
            <w:vMerge w:val="continue"/>
            <w:tcBorders>
              <w:tl2br w:val="nil"/>
              <w:tr2bl w:val="nil"/>
            </w:tcBorders>
            <w:noWrap w:val="0"/>
            <w:vAlign w:val="center"/>
          </w:tcPr>
          <w:p>
            <w:pPr>
              <w:widowControl/>
              <w:spacing w:line="240" w:lineRule="exact"/>
              <w:jc w:val="center"/>
              <w:rPr>
                <w:color w:val="000000"/>
                <w:kern w:val="0"/>
                <w:sz w:val="21"/>
                <w:szCs w:val="21"/>
              </w:rPr>
            </w:pPr>
          </w:p>
        </w:tc>
        <w:tc>
          <w:tcPr>
            <w:tcW w:w="2793" w:type="dxa"/>
            <w:tcBorders>
              <w:tl2br w:val="nil"/>
              <w:tr2bl w:val="nil"/>
            </w:tcBorders>
            <w:noWrap w:val="0"/>
            <w:vAlign w:val="center"/>
          </w:tcPr>
          <w:p>
            <w:pPr>
              <w:widowControl/>
              <w:spacing w:line="240" w:lineRule="exact"/>
              <w:jc w:val="center"/>
              <w:rPr>
                <w:rFonts w:hint="eastAsia"/>
                <w:color w:val="000000"/>
                <w:kern w:val="0"/>
                <w:sz w:val="21"/>
                <w:szCs w:val="21"/>
              </w:rPr>
            </w:pPr>
            <w:r>
              <w:rPr>
                <w:rFonts w:hint="eastAsia"/>
                <w:color w:val="000000"/>
                <w:kern w:val="0"/>
                <w:sz w:val="21"/>
                <w:szCs w:val="21"/>
              </w:rPr>
              <w:t>其他地区</w:t>
            </w:r>
          </w:p>
        </w:tc>
        <w:tc>
          <w:tcPr>
            <w:tcW w:w="1735" w:type="dxa"/>
            <w:tcBorders>
              <w:tl2br w:val="nil"/>
              <w:tr2bl w:val="nil"/>
            </w:tcBorders>
            <w:noWrap w:val="0"/>
            <w:vAlign w:val="center"/>
          </w:tcPr>
          <w:p>
            <w:pPr>
              <w:widowControl/>
              <w:spacing w:line="240" w:lineRule="exact"/>
              <w:jc w:val="center"/>
              <w:rPr>
                <w:rFonts w:hint="default"/>
                <w:b w:val="0"/>
                <w:bCs w:val="0"/>
                <w:color w:val="000000"/>
                <w:kern w:val="0"/>
                <w:sz w:val="21"/>
                <w:szCs w:val="21"/>
                <w:lang w:val="en-US" w:eastAsia="zh-CN" w:bidi="ar-SA"/>
              </w:rPr>
            </w:pPr>
            <w:r>
              <w:rPr>
                <w:rFonts w:hint="eastAsia"/>
                <w:b w:val="0"/>
                <w:bCs w:val="0"/>
                <w:color w:val="000000"/>
                <w:kern w:val="0"/>
                <w:sz w:val="21"/>
                <w:szCs w:val="21"/>
                <w:lang w:val="en-US" w:eastAsia="zh-CN" w:bidi="ar-SA"/>
              </w:rPr>
              <w:t>450</w:t>
            </w:r>
          </w:p>
        </w:tc>
        <w:tc>
          <w:tcPr>
            <w:tcW w:w="1443" w:type="dxa"/>
            <w:tcBorders>
              <w:tl2br w:val="nil"/>
              <w:tr2bl w:val="nil"/>
            </w:tcBorders>
            <w:noWrap/>
            <w:vAlign w:val="center"/>
          </w:tcPr>
          <w:p>
            <w:pPr>
              <w:widowControl/>
              <w:spacing w:line="240" w:lineRule="exact"/>
              <w:jc w:val="center"/>
              <w:rPr>
                <w:rFonts w:hint="default"/>
                <w:b w:val="0"/>
                <w:bCs w:val="0"/>
                <w:color w:val="000000"/>
                <w:kern w:val="0"/>
                <w:sz w:val="21"/>
                <w:szCs w:val="21"/>
                <w:lang w:val="en-US" w:eastAsia="zh-CN" w:bidi="ar-SA"/>
              </w:rPr>
            </w:pPr>
            <w:r>
              <w:rPr>
                <w:rFonts w:hint="eastAsia"/>
                <w:b w:val="0"/>
                <w:bCs w:val="0"/>
                <w:color w:val="000000"/>
                <w:kern w:val="0"/>
                <w:sz w:val="21"/>
                <w:szCs w:val="21"/>
                <w:lang w:val="en-US" w:eastAsia="zh-CN" w:bidi="ar-SA"/>
              </w:rPr>
              <w:t>300</w:t>
            </w:r>
          </w:p>
        </w:tc>
      </w:tr>
    </w:tbl>
    <w:p>
      <w:pPr>
        <w:ind w:firstLine="420" w:firstLineChars="200"/>
        <w:rPr>
          <w:rFonts w:hint="eastAsia" w:eastAsia="宋体"/>
          <w:lang w:val="en-US" w:eastAsia="zh-CN"/>
        </w:rPr>
      </w:pPr>
      <w:r>
        <w:rPr>
          <w:rFonts w:hint="eastAsia"/>
          <w:lang w:val="en-US" w:eastAsia="zh-CN"/>
        </w:rPr>
        <w:t>具体修改地方：把几个特殊地区和计划单列市的标准进行了调整，依据是2015年修订的《中央和国家机关工作人员赴地方差旅住宿费标准明细》。其他省市自治区的标准基本未作改动，只是其他人员的标准从330提高到350，依据是采用了平均值的方式。</w:t>
      </w:r>
    </w:p>
    <w:p>
      <w:pPr>
        <w:spacing w:line="600" w:lineRule="exact"/>
        <w:ind w:firstLine="643"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b/>
          <w:bCs/>
          <w:kern w:val="0"/>
          <w:sz w:val="32"/>
          <w:szCs w:val="32"/>
          <w:lang w:val="en-US" w:eastAsia="zh-CN"/>
        </w:rPr>
        <w:t>第四章“</w:t>
      </w:r>
      <w:r>
        <w:rPr>
          <w:rFonts w:hint="eastAsia" w:ascii="方正仿宋_GBK" w:hAnsi="方正仿宋_GBK" w:eastAsia="方正仿宋_GBK" w:cs="方正仿宋_GBK"/>
          <w:b/>
          <w:bCs/>
          <w:color w:val="000000"/>
          <w:kern w:val="0"/>
          <w:sz w:val="32"/>
          <w:szCs w:val="32"/>
          <w:lang w:val="en-US" w:eastAsia="zh-CN" w:bidi="ar"/>
        </w:rPr>
        <w:t>伙食补助费</w:t>
      </w:r>
      <w:r>
        <w:rPr>
          <w:rFonts w:hint="eastAsia" w:ascii="方正仿宋_GBK" w:hAnsi="宋体" w:eastAsia="方正仿宋_GBK" w:cs="宋体"/>
          <w:b/>
          <w:bCs/>
          <w:kern w:val="0"/>
          <w:sz w:val="32"/>
          <w:szCs w:val="32"/>
          <w:lang w:val="en-US" w:eastAsia="zh-CN"/>
        </w:rPr>
        <w:t>”</w:t>
      </w:r>
      <w:r>
        <w:rPr>
          <w:rFonts w:hint="eastAsia" w:ascii="方正仿宋_GBK" w:hAnsi="宋体" w:eastAsia="方正仿宋_GBK" w:cs="宋体"/>
          <w:kern w:val="0"/>
          <w:sz w:val="32"/>
          <w:szCs w:val="32"/>
          <w:lang w:val="en-US" w:eastAsia="zh-CN"/>
        </w:rPr>
        <w:t>细化并调整了伙食补助费标准。</w:t>
      </w:r>
    </w:p>
    <w:p>
      <w:pPr>
        <w:spacing w:line="600" w:lineRule="exact"/>
        <w:ind w:firstLine="643"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b/>
          <w:bCs/>
          <w:kern w:val="0"/>
          <w:sz w:val="32"/>
          <w:szCs w:val="32"/>
          <w:lang w:val="en-US" w:eastAsia="zh-CN"/>
        </w:rPr>
        <w:t>调整：</w:t>
      </w:r>
      <w:r>
        <w:rPr>
          <w:rFonts w:hint="eastAsia" w:ascii="方正仿宋_GBK" w:hAnsi="宋体" w:eastAsia="方正仿宋_GBK" w:cs="宋体"/>
          <w:kern w:val="0"/>
          <w:sz w:val="32"/>
          <w:szCs w:val="32"/>
          <w:u w:val="none"/>
          <w:lang w:val="en-US" w:eastAsia="zh-CN"/>
        </w:rPr>
        <w:t>西藏、青海、新疆从100元调为120元/人·天，市外其余地区100元/人·天（未变）。市内重庆中心城区由80元调为100元/人·天。到除中心城区外的区县(不含涪陵区)发放标准从80元调为90元/人·天。</w:t>
      </w:r>
    </w:p>
    <w:p>
      <w:pPr>
        <w:spacing w:line="600" w:lineRule="exact"/>
        <w:ind w:firstLine="643" w:firstLineChars="200"/>
        <w:rPr>
          <w:rFonts w:hint="eastAsia" w:ascii="方正仿宋_GBK" w:hAnsi="宋体" w:eastAsia="方正仿宋_GBK" w:cs="宋体"/>
          <w:kern w:val="0"/>
          <w:sz w:val="32"/>
          <w:szCs w:val="32"/>
          <w:u w:val="none"/>
          <w:lang w:val="en-US" w:eastAsia="zh-CN"/>
        </w:rPr>
      </w:pPr>
      <w:r>
        <w:rPr>
          <w:rFonts w:hint="eastAsia" w:ascii="方正仿宋_GBK" w:hAnsi="宋体" w:eastAsia="方正仿宋_GBK" w:cs="宋体"/>
          <w:b/>
          <w:bCs/>
          <w:kern w:val="0"/>
          <w:sz w:val="32"/>
          <w:szCs w:val="32"/>
          <w:lang w:val="en-US" w:eastAsia="zh-CN"/>
        </w:rPr>
        <w:t>增加：</w:t>
      </w:r>
      <w:r>
        <w:rPr>
          <w:rFonts w:hint="eastAsia" w:ascii="方正仿宋_GBK" w:hAnsi="宋体" w:eastAsia="方正仿宋_GBK" w:cs="宋体"/>
          <w:kern w:val="0"/>
          <w:sz w:val="32"/>
          <w:szCs w:val="32"/>
          <w:u w:val="none"/>
          <w:lang w:val="en-US" w:eastAsia="zh-CN"/>
        </w:rPr>
        <w:t>涪陵区乡镇出差或公务车（租车）出差（含公车到市区），早、中、晚餐按误一餐补一餐的方式包干使用，补助标准分别为10元、40元、40元。</w:t>
      </w:r>
      <w:r>
        <w:rPr>
          <w:rFonts w:hint="eastAsia" w:ascii="方正仿宋_GBK" w:hAnsi="宋体" w:eastAsia="方正仿宋_GBK" w:cs="宋体"/>
          <w:i/>
          <w:iCs/>
          <w:kern w:val="0"/>
          <w:sz w:val="32"/>
          <w:szCs w:val="32"/>
          <w:u w:val="none"/>
          <w:lang w:val="en-US" w:eastAsia="zh-CN"/>
        </w:rPr>
        <w:t>（参照市直机关在主城区内出差的做法）</w:t>
      </w:r>
      <w:r>
        <w:rPr>
          <w:rFonts w:hint="eastAsia" w:ascii="方正仿宋_GBK" w:hAnsi="宋体" w:eastAsia="方正仿宋_GBK" w:cs="宋体"/>
          <w:kern w:val="0"/>
          <w:sz w:val="32"/>
          <w:szCs w:val="32"/>
          <w:u w:val="none"/>
          <w:lang w:val="en-US" w:eastAsia="zh-CN"/>
        </w:rPr>
        <w:t>。具体调研情况如下表左列数据。</w:t>
      </w:r>
    </w:p>
    <w:p>
      <w:pPr>
        <w:spacing w:line="600" w:lineRule="exact"/>
        <w:ind w:left="0" w:leftChars="0" w:firstLine="0" w:firstLineChars="0"/>
        <w:jc w:val="center"/>
        <w:rPr>
          <w:rFonts w:hint="eastAsia" w:ascii="方正楷体_GBK" w:hAnsi="方正楷体_GBK" w:eastAsia="方正楷体_GBK" w:cs="方正楷体_GBK"/>
          <w:kern w:val="0"/>
          <w:sz w:val="32"/>
          <w:szCs w:val="32"/>
          <w:u w:val="none"/>
          <w:lang w:val="en-US" w:eastAsia="zh-CN"/>
        </w:rPr>
      </w:pPr>
      <w:r>
        <w:rPr>
          <w:rFonts w:hint="eastAsia" w:ascii="方正楷体_GBK" w:hAnsi="方正楷体_GBK" w:eastAsia="方正楷体_GBK" w:cs="方正楷体_GBK"/>
          <w:kern w:val="0"/>
          <w:sz w:val="32"/>
          <w:szCs w:val="32"/>
          <w:u w:val="none"/>
          <w:lang w:val="en-US" w:eastAsia="zh-CN"/>
        </w:rPr>
        <w:t>重庆市相关高校伙食补助与出差地交通费标准</w:t>
      </w:r>
    </w:p>
    <w:tbl>
      <w:tblPr>
        <w:tblStyle w:val="8"/>
        <w:tblW w:w="5092" w:type="pct"/>
        <w:tblInd w:w="0" w:type="dxa"/>
        <w:shd w:val="clear" w:color="auto" w:fill="auto"/>
        <w:tblLayout w:type="fixed"/>
        <w:tblCellMar>
          <w:top w:w="0" w:type="dxa"/>
          <w:left w:w="0" w:type="dxa"/>
          <w:bottom w:w="0" w:type="dxa"/>
          <w:right w:w="0" w:type="dxa"/>
        </w:tblCellMar>
      </w:tblPr>
      <w:tblGrid>
        <w:gridCol w:w="1935"/>
        <w:gridCol w:w="624"/>
        <w:gridCol w:w="1045"/>
        <w:gridCol w:w="844"/>
        <w:gridCol w:w="435"/>
        <w:gridCol w:w="611"/>
        <w:gridCol w:w="1254"/>
        <w:gridCol w:w="1110"/>
        <w:gridCol w:w="1181"/>
      </w:tblGrid>
      <w:tr>
        <w:tblPrEx>
          <w:shd w:val="clear" w:color="auto" w:fill="auto"/>
          <w:tblCellMar>
            <w:top w:w="0" w:type="dxa"/>
            <w:left w:w="0" w:type="dxa"/>
            <w:bottom w:w="0" w:type="dxa"/>
            <w:right w:w="0" w:type="dxa"/>
          </w:tblCellMar>
        </w:tblPrEx>
        <w:trPr>
          <w:trHeight w:val="270" w:hRule="atLeast"/>
        </w:trPr>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w:t>
            </w:r>
          </w:p>
        </w:tc>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伙食补助费</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5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出差地交通费</w:t>
            </w:r>
          </w:p>
        </w:tc>
      </w:tr>
      <w:tr>
        <w:tblPrEx>
          <w:tblCellMar>
            <w:top w:w="0" w:type="dxa"/>
            <w:left w:w="0" w:type="dxa"/>
            <w:bottom w:w="0" w:type="dxa"/>
            <w:right w:w="0" w:type="dxa"/>
          </w:tblCellMar>
        </w:tblPrEx>
        <w:trPr>
          <w:trHeight w:val="9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市外</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市内主城</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市内区县</w:t>
            </w:r>
          </w:p>
        </w:tc>
        <w:tc>
          <w:tcPr>
            <w:tcW w:w="43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市外</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市内主城</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市内区县</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延伸乡镇</w:t>
            </w:r>
          </w:p>
        </w:tc>
      </w:tr>
      <w:tr>
        <w:tblPrEx>
          <w:tblCellMar>
            <w:top w:w="0" w:type="dxa"/>
            <w:left w:w="0" w:type="dxa"/>
            <w:bottom w:w="0" w:type="dxa"/>
            <w:right w:w="0" w:type="dxa"/>
          </w:tblCellMar>
        </w:tblPrEx>
        <w:trPr>
          <w:trHeight w:val="27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重庆邮电大学2014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误一补一</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27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重庆交通大学2021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误一补一</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重庆工商大学2017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误一补一</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50或据实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27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四川美术学院2014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误一补一</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27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重庆医科大学2015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误一补一</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39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重庆三峡学院2018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27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重庆文理学院2020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长江师范学院2016</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27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涪陵区国企2019</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区外100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区内50</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区外80 区内据实</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拟修订标准</w:t>
            </w:r>
          </w:p>
        </w:tc>
        <w:tc>
          <w:tcPr>
            <w:tcW w:w="624"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90</w:t>
            </w:r>
          </w:p>
        </w:tc>
        <w:tc>
          <w:tcPr>
            <w:tcW w:w="435"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tcMar>
              <w:top w:w="15" w:type="dxa"/>
              <w:left w:w="15" w:type="dxa"/>
              <w:right w:w="15" w:type="dxa"/>
            </w:tcMar>
            <w:vAlign w:val="center"/>
          </w:tcPr>
          <w:p>
            <w:pPr>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60</w:t>
            </w:r>
          </w:p>
        </w:tc>
      </w:tr>
    </w:tbl>
    <w:p>
      <w:pPr>
        <w:spacing w:line="600" w:lineRule="exact"/>
        <w:ind w:firstLine="643" w:firstLineChars="200"/>
        <w:rPr>
          <w:rFonts w:hint="eastAsia" w:ascii="方正仿宋_GBK" w:hAnsi="宋体" w:eastAsia="方正仿宋_GBK" w:cs="宋体"/>
          <w:b/>
          <w:bCs/>
          <w:kern w:val="0"/>
          <w:sz w:val="32"/>
          <w:szCs w:val="32"/>
          <w:lang w:val="en-US" w:eastAsia="zh-CN"/>
        </w:rPr>
      </w:pPr>
    </w:p>
    <w:p>
      <w:pPr>
        <w:spacing w:line="600" w:lineRule="exact"/>
        <w:ind w:firstLine="643"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b/>
          <w:bCs/>
          <w:kern w:val="0"/>
          <w:sz w:val="32"/>
          <w:szCs w:val="32"/>
          <w:lang w:val="en-US" w:eastAsia="zh-CN"/>
        </w:rPr>
        <w:t>第五章“出差地交通费”</w:t>
      </w:r>
      <w:r>
        <w:rPr>
          <w:rFonts w:hint="eastAsia" w:ascii="方正仿宋_GBK" w:hAnsi="宋体" w:eastAsia="方正仿宋_GBK" w:cs="宋体"/>
          <w:kern w:val="0"/>
          <w:sz w:val="32"/>
          <w:szCs w:val="32"/>
          <w:lang w:val="en-US" w:eastAsia="zh-CN"/>
        </w:rPr>
        <w:t>调整了出差地交通费标准。</w:t>
      </w:r>
    </w:p>
    <w:p>
      <w:pPr>
        <w:spacing w:line="600" w:lineRule="exact"/>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市内</w:t>
      </w:r>
      <w:r>
        <w:rPr>
          <w:rFonts w:hint="eastAsia" w:ascii="方正仿宋_GBK" w:hAnsi="宋体" w:eastAsia="方正仿宋_GBK" w:cs="宋体"/>
          <w:kern w:val="0"/>
          <w:sz w:val="32"/>
          <w:szCs w:val="32"/>
          <w:u w:val="single"/>
          <w:lang w:val="en-US" w:eastAsia="zh-CN"/>
        </w:rPr>
        <w:t>中心城区标准由40元调整到80元</w:t>
      </w:r>
      <w:r>
        <w:rPr>
          <w:rFonts w:hint="eastAsia" w:ascii="方正仿宋_GBK" w:hAnsi="宋体" w:eastAsia="方正仿宋_GBK" w:cs="宋体"/>
          <w:kern w:val="0"/>
          <w:sz w:val="32"/>
          <w:szCs w:val="32"/>
          <w:lang w:val="en-US" w:eastAsia="zh-CN"/>
        </w:rPr>
        <w:t>（调研情况见上表右列数据）。</w:t>
      </w:r>
    </w:p>
    <w:p>
      <w:pPr>
        <w:spacing w:line="600" w:lineRule="exact"/>
        <w:ind w:firstLine="643"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b/>
          <w:bCs/>
          <w:kern w:val="0"/>
          <w:sz w:val="32"/>
          <w:szCs w:val="32"/>
          <w:lang w:val="en-US" w:eastAsia="zh-CN"/>
        </w:rPr>
        <w:t>第六章</w:t>
      </w:r>
      <w:r>
        <w:rPr>
          <w:rFonts w:hint="eastAsia" w:ascii="方正仿宋_GBK" w:hAnsi="宋体" w:eastAsia="方正仿宋_GBK" w:cs="宋体"/>
          <w:kern w:val="0"/>
          <w:sz w:val="32"/>
          <w:szCs w:val="32"/>
          <w:lang w:val="en-US" w:eastAsia="zh-CN"/>
        </w:rPr>
        <w:t xml:space="preserve"> </w:t>
      </w:r>
      <w:r>
        <w:rPr>
          <w:rFonts w:hint="eastAsia" w:ascii="方正仿宋_GBK" w:hAnsi="宋体" w:eastAsia="方正仿宋_GBK" w:cs="宋体"/>
          <w:b/>
          <w:bCs/>
          <w:kern w:val="0"/>
          <w:sz w:val="32"/>
          <w:szCs w:val="32"/>
          <w:lang w:val="en-US" w:eastAsia="zh-CN"/>
        </w:rPr>
        <w:t>“其他差旅费”</w:t>
      </w:r>
      <w:r>
        <w:rPr>
          <w:rFonts w:hint="eastAsia" w:ascii="方正仿宋_GBK" w:hAnsi="宋体" w:eastAsia="方正仿宋_GBK" w:cs="宋体"/>
          <w:kern w:val="0"/>
          <w:sz w:val="32"/>
          <w:szCs w:val="32"/>
          <w:lang w:val="en-US" w:eastAsia="zh-CN"/>
        </w:rPr>
        <w:t>列出常见的特殊类型的差旅费管理。</w:t>
      </w:r>
    </w:p>
    <w:p>
      <w:pPr>
        <w:spacing w:line="600" w:lineRule="exact"/>
        <w:ind w:firstLine="643"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b/>
          <w:bCs/>
          <w:kern w:val="0"/>
          <w:sz w:val="32"/>
          <w:szCs w:val="32"/>
          <w:lang w:val="en-US" w:eastAsia="zh-CN"/>
        </w:rPr>
        <w:t>一是再次</w:t>
      </w:r>
      <w:r>
        <w:rPr>
          <w:rFonts w:hint="eastAsia" w:ascii="方正仿宋_GBK" w:hAnsi="宋体" w:eastAsia="方正仿宋_GBK" w:cs="宋体"/>
          <w:kern w:val="0"/>
          <w:sz w:val="32"/>
          <w:szCs w:val="32"/>
          <w:lang w:val="en-US" w:eastAsia="zh-CN"/>
        </w:rPr>
        <w:t>明确挂职、交流、派出、支援工作、进修、访学等长期外出工作人员差旅费报销办法，只报两头，不报中间。有具体规定从其规定。</w:t>
      </w:r>
    </w:p>
    <w:p>
      <w:pPr>
        <w:spacing w:line="600" w:lineRule="exact"/>
        <w:ind w:firstLine="643"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b/>
          <w:bCs/>
          <w:kern w:val="0"/>
          <w:sz w:val="32"/>
          <w:szCs w:val="32"/>
          <w:lang w:val="en-US" w:eastAsia="zh-CN"/>
        </w:rPr>
        <w:t>二是</w:t>
      </w:r>
      <w:r>
        <w:rPr>
          <w:rFonts w:hint="eastAsia" w:ascii="方正仿宋_GBK" w:hAnsi="宋体" w:eastAsia="方正仿宋_GBK" w:cs="宋体"/>
          <w:kern w:val="0"/>
          <w:sz w:val="32"/>
          <w:szCs w:val="32"/>
          <w:lang w:val="en-US" w:eastAsia="zh-CN"/>
        </w:rPr>
        <w:t>明确了组织学生外出参加竞赛（社会实践）等活动报销标准，明确了住宿费标准为一般人员；以前基本这样执行，但未形成文字。删除了学生紧急情况乘坐飞机需业务分管校领导审签环节，改为事前经费所在部门负责人审签。</w:t>
      </w:r>
    </w:p>
    <w:p>
      <w:pPr>
        <w:spacing w:line="600" w:lineRule="exact"/>
        <w:ind w:firstLine="643"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b/>
          <w:bCs/>
          <w:kern w:val="0"/>
          <w:sz w:val="32"/>
          <w:szCs w:val="32"/>
          <w:lang w:val="en-US" w:eastAsia="zh-CN"/>
        </w:rPr>
        <w:t>三是</w:t>
      </w:r>
      <w:r>
        <w:rPr>
          <w:rFonts w:hint="eastAsia" w:ascii="方正仿宋_GBK" w:hAnsi="宋体" w:eastAsia="方正仿宋_GBK" w:cs="宋体"/>
          <w:kern w:val="0"/>
          <w:sz w:val="32"/>
          <w:szCs w:val="32"/>
          <w:lang w:val="en-US" w:eastAsia="zh-CN"/>
        </w:rPr>
        <w:t>明确了外请专家到校指导或因需要请非在校人员出差等活动差旅报销要求和标准，即只报往返城市间交通费、住宿费，不报其他费用。</w:t>
      </w:r>
    </w:p>
    <w:p>
      <w:pPr>
        <w:numPr>
          <w:ilvl w:val="0"/>
          <w:numId w:val="0"/>
        </w:numPr>
        <w:spacing w:line="600" w:lineRule="exact"/>
        <w:ind w:firstLine="643" w:firstLineChars="200"/>
        <w:rPr>
          <w:rFonts w:hint="eastAsia" w:ascii="方正仿宋_GBK" w:eastAsia="方正仿宋_GBK"/>
          <w:sz w:val="32"/>
          <w:szCs w:val="32"/>
          <w:lang w:val="en-US" w:eastAsia="zh-CN"/>
        </w:rPr>
      </w:pPr>
      <w:r>
        <w:rPr>
          <w:rFonts w:hint="eastAsia" w:ascii="方正仿宋_GBK" w:hAnsi="宋体" w:eastAsia="方正仿宋_GBK" w:cs="宋体"/>
          <w:b/>
          <w:bCs/>
          <w:kern w:val="0"/>
          <w:sz w:val="32"/>
          <w:szCs w:val="32"/>
          <w:lang w:val="en-US" w:eastAsia="zh-CN"/>
        </w:rPr>
        <w:t>第七章 “报销管理”</w:t>
      </w:r>
      <w:r>
        <w:rPr>
          <w:rFonts w:hint="eastAsia" w:ascii="方正仿宋_GBK" w:eastAsia="方正仿宋_GBK"/>
          <w:sz w:val="32"/>
          <w:szCs w:val="32"/>
          <w:lang w:val="en-US" w:eastAsia="zh-CN"/>
        </w:rPr>
        <w:t>根据实际情况，将</w:t>
      </w:r>
      <w:r>
        <w:rPr>
          <w:rFonts w:hint="eastAsia" w:ascii="方正仿宋_GBK" w:eastAsia="方正仿宋_GBK"/>
          <w:sz w:val="32"/>
          <w:szCs w:val="32"/>
        </w:rPr>
        <w:t>出差结束后应当在</w:t>
      </w:r>
      <w:r>
        <w:rPr>
          <w:rFonts w:hint="eastAsia" w:ascii="方正仿宋_GBK" w:eastAsia="方正仿宋_GBK"/>
          <w:sz w:val="32"/>
          <w:szCs w:val="32"/>
          <w:lang w:val="en-US" w:eastAsia="zh-CN"/>
        </w:rPr>
        <w:t>30</w:t>
      </w:r>
      <w:r>
        <w:rPr>
          <w:rFonts w:hint="eastAsia" w:ascii="方正仿宋_GBK" w:eastAsia="方正仿宋_GBK"/>
          <w:sz w:val="32"/>
          <w:szCs w:val="32"/>
        </w:rPr>
        <w:t>日内办理报销</w:t>
      </w:r>
      <w:r>
        <w:rPr>
          <w:rFonts w:hint="eastAsia" w:ascii="方正仿宋_GBK" w:eastAsia="方正仿宋_GBK"/>
          <w:sz w:val="32"/>
          <w:szCs w:val="32"/>
          <w:lang w:eastAsia="zh-CN"/>
        </w:rPr>
        <w:t>调整为</w:t>
      </w:r>
      <w:r>
        <w:rPr>
          <w:rFonts w:hint="eastAsia" w:ascii="方正仿宋_GBK" w:eastAsia="方正仿宋_GBK"/>
          <w:sz w:val="32"/>
          <w:szCs w:val="32"/>
          <w:u w:val="single"/>
          <w:lang w:val="en-US" w:eastAsia="zh-CN"/>
        </w:rPr>
        <w:t>3个月内</w:t>
      </w:r>
      <w:r>
        <w:rPr>
          <w:rFonts w:hint="eastAsia" w:ascii="方正仿宋_GBK" w:eastAsia="方正仿宋_GBK"/>
          <w:sz w:val="32"/>
          <w:szCs w:val="32"/>
          <w:lang w:val="en-US" w:eastAsia="zh-CN"/>
        </w:rPr>
        <w:t>报销。</w:t>
      </w:r>
      <w:r>
        <w:rPr>
          <w:rFonts w:ascii="方正仿宋_GBK" w:eastAsia="方正仿宋_GBK"/>
          <w:sz w:val="32"/>
          <w:szCs w:val="32"/>
        </w:rPr>
        <w:t>遗失</w:t>
      </w:r>
      <w:r>
        <w:rPr>
          <w:rFonts w:hint="eastAsia" w:ascii="方正仿宋_GBK" w:eastAsia="方正仿宋_GBK"/>
          <w:sz w:val="32"/>
          <w:szCs w:val="32"/>
          <w:lang w:eastAsia="zh-CN"/>
        </w:rPr>
        <w:t>车票机票的，情况说明后不再需要校领导签字。</w:t>
      </w:r>
    </w:p>
    <w:p>
      <w:pPr>
        <w:spacing w:line="600" w:lineRule="exact"/>
        <w:ind w:firstLine="643"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b/>
          <w:bCs/>
          <w:kern w:val="0"/>
          <w:sz w:val="32"/>
          <w:szCs w:val="32"/>
          <w:lang w:val="en-US" w:eastAsia="zh-CN"/>
        </w:rPr>
        <w:t>第八章“</w:t>
      </w:r>
      <w:r>
        <w:rPr>
          <w:rFonts w:hint="eastAsia" w:ascii="方正仿宋_GBK" w:hAnsi="方正仿宋_GBK" w:eastAsia="方正仿宋_GBK" w:cs="方正仿宋_GBK"/>
          <w:color w:val="000000"/>
          <w:kern w:val="0"/>
          <w:sz w:val="32"/>
          <w:szCs w:val="32"/>
          <w:lang w:val="en-US" w:eastAsia="zh-CN" w:bidi="ar"/>
        </w:rPr>
        <w:t>监督问责</w:t>
      </w:r>
      <w:r>
        <w:rPr>
          <w:rFonts w:hint="eastAsia" w:ascii="方正仿宋_GBK" w:hAnsi="宋体" w:eastAsia="方正仿宋_GBK" w:cs="宋体"/>
          <w:b/>
          <w:bCs/>
          <w:kern w:val="0"/>
          <w:sz w:val="32"/>
          <w:szCs w:val="32"/>
          <w:lang w:val="en-US" w:eastAsia="zh-CN"/>
        </w:rPr>
        <w:t>”</w:t>
      </w:r>
      <w:r>
        <w:rPr>
          <w:rFonts w:hint="eastAsia" w:ascii="方正仿宋_GBK" w:hAnsi="方正仿宋_GBK" w:eastAsia="方正仿宋_GBK" w:cs="方正仿宋_GBK"/>
          <w:color w:val="000000"/>
          <w:kern w:val="0"/>
          <w:sz w:val="32"/>
          <w:szCs w:val="32"/>
          <w:lang w:val="en-US" w:eastAsia="zh-CN" w:bidi="ar"/>
        </w:rPr>
        <w:t>未作实质修订。</w:t>
      </w:r>
    </w:p>
    <w:p>
      <w:pPr>
        <w:spacing w:line="600" w:lineRule="exact"/>
        <w:ind w:firstLine="643"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b/>
          <w:bCs/>
          <w:kern w:val="0"/>
          <w:sz w:val="32"/>
          <w:szCs w:val="32"/>
          <w:lang w:val="en-US" w:eastAsia="zh-CN"/>
        </w:rPr>
        <w:t>第九章“</w:t>
      </w:r>
      <w:r>
        <w:rPr>
          <w:rFonts w:hint="eastAsia" w:ascii="方正仿宋_GBK" w:hAnsi="宋体" w:eastAsia="方正仿宋_GBK" w:cs="宋体"/>
          <w:kern w:val="0"/>
          <w:sz w:val="32"/>
          <w:szCs w:val="32"/>
          <w:lang w:val="en-US" w:eastAsia="zh-CN"/>
        </w:rPr>
        <w:t>附则</w:t>
      </w:r>
      <w:r>
        <w:rPr>
          <w:rFonts w:hint="eastAsia" w:ascii="方正仿宋_GBK" w:hAnsi="宋体" w:eastAsia="方正仿宋_GBK" w:cs="宋体"/>
          <w:b/>
          <w:bCs/>
          <w:kern w:val="0"/>
          <w:sz w:val="32"/>
          <w:szCs w:val="32"/>
          <w:lang w:val="en-US" w:eastAsia="zh-CN"/>
        </w:rPr>
        <w:t>”</w:t>
      </w:r>
      <w:r>
        <w:rPr>
          <w:rFonts w:hint="eastAsia" w:ascii="方正仿宋_GBK" w:hAnsi="宋体" w:eastAsia="方正仿宋_GBK" w:cs="宋体"/>
          <w:kern w:val="0"/>
          <w:sz w:val="32"/>
          <w:szCs w:val="32"/>
          <w:lang w:val="en-US" w:eastAsia="zh-CN"/>
        </w:rPr>
        <w:t>两个变化，</w:t>
      </w:r>
      <w:r>
        <w:rPr>
          <w:rFonts w:hint="eastAsia" w:ascii="方正仿宋_GBK" w:hAnsi="宋体" w:eastAsia="方正仿宋_GBK" w:cs="宋体"/>
          <w:b/>
          <w:bCs/>
          <w:kern w:val="0"/>
          <w:sz w:val="32"/>
          <w:szCs w:val="32"/>
          <w:lang w:val="en-US" w:eastAsia="zh-CN"/>
        </w:rPr>
        <w:t>一是</w:t>
      </w:r>
      <w:r>
        <w:rPr>
          <w:rFonts w:hint="eastAsia" w:ascii="方正仿宋_GBK" w:hAnsi="宋体" w:eastAsia="方正仿宋_GBK" w:cs="宋体"/>
          <w:kern w:val="0"/>
          <w:sz w:val="32"/>
          <w:szCs w:val="32"/>
          <w:lang w:val="en-US" w:eastAsia="zh-CN"/>
        </w:rPr>
        <w:t>到涪陵城区办事不属于公务出差范围，但仍会产生交通费用，因此保留原文件内容，移到此处。但是对范围进行了细化，江南城区、江东街道、江北街道、龙桥街道办理公务，交通费和伙食补助费按30元/天定额包干使用或凭公交车票据实报销；到涪陵李渡街道、马鞍街道、义和街道办理公务，无伙食补助费，凭公交车票据实报销交通费。</w:t>
      </w:r>
    </w:p>
    <w:p>
      <w:pPr>
        <w:spacing w:line="560" w:lineRule="exact"/>
        <w:ind w:firstLine="643"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b/>
          <w:bCs/>
          <w:kern w:val="0"/>
          <w:sz w:val="32"/>
          <w:szCs w:val="32"/>
          <w:lang w:val="en-US" w:eastAsia="zh-CN"/>
        </w:rPr>
        <w:t>二是</w:t>
      </w:r>
      <w:r>
        <w:rPr>
          <w:rFonts w:hint="eastAsia" w:ascii="方正仿宋_GBK" w:hAnsi="宋体" w:eastAsia="方正仿宋_GBK" w:cs="宋体"/>
          <w:kern w:val="0"/>
          <w:sz w:val="32"/>
          <w:szCs w:val="32"/>
          <w:lang w:val="en-US" w:eastAsia="zh-CN"/>
        </w:rPr>
        <w:t>科研经费出差不属于公务出差范围，参照此办法。增加已退休或调动人员科研项目经费报销的细节管理和自驾车及租车外出的报销管理。</w:t>
      </w:r>
    </w:p>
    <w:p>
      <w:pPr>
        <w:spacing w:line="560" w:lineRule="exact"/>
        <w:ind w:firstLine="640" w:firstLineChars="200"/>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最后一点说明：关于印发之日实行的问题，指印发之日后产生的差旅费按新文件执行。</w:t>
      </w:r>
      <w:bookmarkStart w:id="0" w:name="_GoBack"/>
      <w:bookmarkEnd w:id="0"/>
    </w:p>
    <w:sectPr>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AA"/>
    <w:rsid w:val="00007D60"/>
    <w:rsid w:val="00040E32"/>
    <w:rsid w:val="00046890"/>
    <w:rsid w:val="00052EA6"/>
    <w:rsid w:val="000534BB"/>
    <w:rsid w:val="000605A2"/>
    <w:rsid w:val="000612B7"/>
    <w:rsid w:val="000755E0"/>
    <w:rsid w:val="00075AAD"/>
    <w:rsid w:val="00083519"/>
    <w:rsid w:val="00092957"/>
    <w:rsid w:val="00096B83"/>
    <w:rsid w:val="000A1A4C"/>
    <w:rsid w:val="000B48C0"/>
    <w:rsid w:val="000C0E5D"/>
    <w:rsid w:val="000C2274"/>
    <w:rsid w:val="000E1DFD"/>
    <w:rsid w:val="000E3E74"/>
    <w:rsid w:val="00107D52"/>
    <w:rsid w:val="00115C3B"/>
    <w:rsid w:val="00120D21"/>
    <w:rsid w:val="00136130"/>
    <w:rsid w:val="00136DC0"/>
    <w:rsid w:val="00137190"/>
    <w:rsid w:val="00150383"/>
    <w:rsid w:val="00155D86"/>
    <w:rsid w:val="00184BEA"/>
    <w:rsid w:val="0018686E"/>
    <w:rsid w:val="00190041"/>
    <w:rsid w:val="001907EF"/>
    <w:rsid w:val="00190F2C"/>
    <w:rsid w:val="001A4F88"/>
    <w:rsid w:val="001C4D3F"/>
    <w:rsid w:val="001C695E"/>
    <w:rsid w:val="001C6F70"/>
    <w:rsid w:val="001E7205"/>
    <w:rsid w:val="001F66E3"/>
    <w:rsid w:val="0020581B"/>
    <w:rsid w:val="00212A6E"/>
    <w:rsid w:val="00232789"/>
    <w:rsid w:val="0024354C"/>
    <w:rsid w:val="00243B81"/>
    <w:rsid w:val="00245293"/>
    <w:rsid w:val="00247A38"/>
    <w:rsid w:val="00250FE2"/>
    <w:rsid w:val="00252D84"/>
    <w:rsid w:val="00254271"/>
    <w:rsid w:val="00262950"/>
    <w:rsid w:val="00267630"/>
    <w:rsid w:val="00282DC5"/>
    <w:rsid w:val="0028328F"/>
    <w:rsid w:val="00290027"/>
    <w:rsid w:val="0029071E"/>
    <w:rsid w:val="002B3074"/>
    <w:rsid w:val="002B39D4"/>
    <w:rsid w:val="002B6D95"/>
    <w:rsid w:val="002C0BB2"/>
    <w:rsid w:val="002C4CAA"/>
    <w:rsid w:val="002E206D"/>
    <w:rsid w:val="002F2E1A"/>
    <w:rsid w:val="002F6D4E"/>
    <w:rsid w:val="00302E7F"/>
    <w:rsid w:val="0031504D"/>
    <w:rsid w:val="0032377F"/>
    <w:rsid w:val="003249CA"/>
    <w:rsid w:val="00342271"/>
    <w:rsid w:val="0037403B"/>
    <w:rsid w:val="003770C3"/>
    <w:rsid w:val="003819CE"/>
    <w:rsid w:val="003A387F"/>
    <w:rsid w:val="003E526C"/>
    <w:rsid w:val="003E6FE7"/>
    <w:rsid w:val="003E7FD1"/>
    <w:rsid w:val="003F0064"/>
    <w:rsid w:val="0042255D"/>
    <w:rsid w:val="00456626"/>
    <w:rsid w:val="0046388D"/>
    <w:rsid w:val="00465B8C"/>
    <w:rsid w:val="00471C3A"/>
    <w:rsid w:val="004735CC"/>
    <w:rsid w:val="00473A6C"/>
    <w:rsid w:val="004764B3"/>
    <w:rsid w:val="004774F4"/>
    <w:rsid w:val="00487F32"/>
    <w:rsid w:val="004904CF"/>
    <w:rsid w:val="00491A2B"/>
    <w:rsid w:val="0049573C"/>
    <w:rsid w:val="004C0D5E"/>
    <w:rsid w:val="004C65C9"/>
    <w:rsid w:val="004D51F0"/>
    <w:rsid w:val="004D5BF8"/>
    <w:rsid w:val="004E08FD"/>
    <w:rsid w:val="004F1AEE"/>
    <w:rsid w:val="00511638"/>
    <w:rsid w:val="005138D7"/>
    <w:rsid w:val="00517421"/>
    <w:rsid w:val="005232EF"/>
    <w:rsid w:val="0053154B"/>
    <w:rsid w:val="005463F7"/>
    <w:rsid w:val="00546B0B"/>
    <w:rsid w:val="00551721"/>
    <w:rsid w:val="00563D2F"/>
    <w:rsid w:val="00566358"/>
    <w:rsid w:val="00576C8A"/>
    <w:rsid w:val="005802FF"/>
    <w:rsid w:val="005A2F97"/>
    <w:rsid w:val="005C536E"/>
    <w:rsid w:val="005E1D85"/>
    <w:rsid w:val="005E5B5B"/>
    <w:rsid w:val="005F4769"/>
    <w:rsid w:val="005F7878"/>
    <w:rsid w:val="00602771"/>
    <w:rsid w:val="0061729B"/>
    <w:rsid w:val="00621BE3"/>
    <w:rsid w:val="0062316C"/>
    <w:rsid w:val="00623E27"/>
    <w:rsid w:val="00625F8C"/>
    <w:rsid w:val="00626408"/>
    <w:rsid w:val="0062677F"/>
    <w:rsid w:val="00627785"/>
    <w:rsid w:val="0063176D"/>
    <w:rsid w:val="00635C4B"/>
    <w:rsid w:val="00646921"/>
    <w:rsid w:val="00672BF2"/>
    <w:rsid w:val="006836EA"/>
    <w:rsid w:val="00685B26"/>
    <w:rsid w:val="006A3E24"/>
    <w:rsid w:val="006A785F"/>
    <w:rsid w:val="006B372A"/>
    <w:rsid w:val="006C4DFD"/>
    <w:rsid w:val="006F5511"/>
    <w:rsid w:val="00703967"/>
    <w:rsid w:val="007043F6"/>
    <w:rsid w:val="00715A3D"/>
    <w:rsid w:val="007230B4"/>
    <w:rsid w:val="00726266"/>
    <w:rsid w:val="00726EE3"/>
    <w:rsid w:val="007351B4"/>
    <w:rsid w:val="0073592D"/>
    <w:rsid w:val="007427E2"/>
    <w:rsid w:val="007505C1"/>
    <w:rsid w:val="00750894"/>
    <w:rsid w:val="00751257"/>
    <w:rsid w:val="00753984"/>
    <w:rsid w:val="007579DE"/>
    <w:rsid w:val="00784545"/>
    <w:rsid w:val="00786B16"/>
    <w:rsid w:val="007877F0"/>
    <w:rsid w:val="00793B42"/>
    <w:rsid w:val="007B0183"/>
    <w:rsid w:val="007B7526"/>
    <w:rsid w:val="007B7917"/>
    <w:rsid w:val="007C1049"/>
    <w:rsid w:val="007C27EC"/>
    <w:rsid w:val="007F420F"/>
    <w:rsid w:val="0080403B"/>
    <w:rsid w:val="00813655"/>
    <w:rsid w:val="00814B61"/>
    <w:rsid w:val="00817A6B"/>
    <w:rsid w:val="00826307"/>
    <w:rsid w:val="00826C1B"/>
    <w:rsid w:val="00840C46"/>
    <w:rsid w:val="008441CB"/>
    <w:rsid w:val="0085522A"/>
    <w:rsid w:val="0087551C"/>
    <w:rsid w:val="00875A3C"/>
    <w:rsid w:val="00891EFC"/>
    <w:rsid w:val="00895C4A"/>
    <w:rsid w:val="0089776A"/>
    <w:rsid w:val="008A33B1"/>
    <w:rsid w:val="008A4977"/>
    <w:rsid w:val="008B03E9"/>
    <w:rsid w:val="008D2988"/>
    <w:rsid w:val="008D3F60"/>
    <w:rsid w:val="008E0DD8"/>
    <w:rsid w:val="008E1486"/>
    <w:rsid w:val="008F2F43"/>
    <w:rsid w:val="008F445F"/>
    <w:rsid w:val="008F4EB6"/>
    <w:rsid w:val="00904E23"/>
    <w:rsid w:val="009140BD"/>
    <w:rsid w:val="00922A5F"/>
    <w:rsid w:val="0092305B"/>
    <w:rsid w:val="00932664"/>
    <w:rsid w:val="00947C4E"/>
    <w:rsid w:val="009702A7"/>
    <w:rsid w:val="0099403A"/>
    <w:rsid w:val="009952DE"/>
    <w:rsid w:val="009A3F76"/>
    <w:rsid w:val="009B4E1A"/>
    <w:rsid w:val="009B68E8"/>
    <w:rsid w:val="009C3344"/>
    <w:rsid w:val="009C344A"/>
    <w:rsid w:val="00A074EE"/>
    <w:rsid w:val="00A15657"/>
    <w:rsid w:val="00A15C97"/>
    <w:rsid w:val="00A15EB6"/>
    <w:rsid w:val="00A35124"/>
    <w:rsid w:val="00A41BCA"/>
    <w:rsid w:val="00A500E8"/>
    <w:rsid w:val="00A50789"/>
    <w:rsid w:val="00A5557D"/>
    <w:rsid w:val="00A56FBC"/>
    <w:rsid w:val="00A579D7"/>
    <w:rsid w:val="00A642A1"/>
    <w:rsid w:val="00A72BB2"/>
    <w:rsid w:val="00A73418"/>
    <w:rsid w:val="00A76C6F"/>
    <w:rsid w:val="00A77F56"/>
    <w:rsid w:val="00A854DC"/>
    <w:rsid w:val="00A85662"/>
    <w:rsid w:val="00A9252D"/>
    <w:rsid w:val="00A95C72"/>
    <w:rsid w:val="00A96B05"/>
    <w:rsid w:val="00AB2EEA"/>
    <w:rsid w:val="00AC1F8C"/>
    <w:rsid w:val="00AC38C9"/>
    <w:rsid w:val="00AC428F"/>
    <w:rsid w:val="00AC6725"/>
    <w:rsid w:val="00AD1224"/>
    <w:rsid w:val="00AE1C88"/>
    <w:rsid w:val="00AE4A70"/>
    <w:rsid w:val="00AF2935"/>
    <w:rsid w:val="00AF2F9A"/>
    <w:rsid w:val="00B00D3C"/>
    <w:rsid w:val="00B06623"/>
    <w:rsid w:val="00B10715"/>
    <w:rsid w:val="00B12A9F"/>
    <w:rsid w:val="00B25AAA"/>
    <w:rsid w:val="00B47252"/>
    <w:rsid w:val="00B47DF0"/>
    <w:rsid w:val="00B72355"/>
    <w:rsid w:val="00B8483B"/>
    <w:rsid w:val="00BB5DD5"/>
    <w:rsid w:val="00BB66BC"/>
    <w:rsid w:val="00BC12FA"/>
    <w:rsid w:val="00BC51D8"/>
    <w:rsid w:val="00BD0D5A"/>
    <w:rsid w:val="00BD57FE"/>
    <w:rsid w:val="00BD5E35"/>
    <w:rsid w:val="00BF3D18"/>
    <w:rsid w:val="00C12E99"/>
    <w:rsid w:val="00C21902"/>
    <w:rsid w:val="00C34FCD"/>
    <w:rsid w:val="00C363DD"/>
    <w:rsid w:val="00C36A25"/>
    <w:rsid w:val="00C62F0F"/>
    <w:rsid w:val="00C81C8D"/>
    <w:rsid w:val="00C97973"/>
    <w:rsid w:val="00CA2E95"/>
    <w:rsid w:val="00CA5BA0"/>
    <w:rsid w:val="00CB2903"/>
    <w:rsid w:val="00CB38D9"/>
    <w:rsid w:val="00CD1847"/>
    <w:rsid w:val="00CD5E0D"/>
    <w:rsid w:val="00CE3CF6"/>
    <w:rsid w:val="00CE4C4E"/>
    <w:rsid w:val="00D1171F"/>
    <w:rsid w:val="00D264DB"/>
    <w:rsid w:val="00D33217"/>
    <w:rsid w:val="00D43B32"/>
    <w:rsid w:val="00D447EC"/>
    <w:rsid w:val="00D463B5"/>
    <w:rsid w:val="00D62306"/>
    <w:rsid w:val="00D64ABC"/>
    <w:rsid w:val="00D72C9C"/>
    <w:rsid w:val="00D75848"/>
    <w:rsid w:val="00D80C65"/>
    <w:rsid w:val="00D83735"/>
    <w:rsid w:val="00DB7E3C"/>
    <w:rsid w:val="00DC0545"/>
    <w:rsid w:val="00E0299A"/>
    <w:rsid w:val="00E0678A"/>
    <w:rsid w:val="00E23F0B"/>
    <w:rsid w:val="00E26076"/>
    <w:rsid w:val="00E567CC"/>
    <w:rsid w:val="00E574A7"/>
    <w:rsid w:val="00E73929"/>
    <w:rsid w:val="00E81BA8"/>
    <w:rsid w:val="00E9478A"/>
    <w:rsid w:val="00EB0717"/>
    <w:rsid w:val="00EB46EA"/>
    <w:rsid w:val="00EC29F6"/>
    <w:rsid w:val="00EC610E"/>
    <w:rsid w:val="00ED5C15"/>
    <w:rsid w:val="00ED675C"/>
    <w:rsid w:val="00ED70FF"/>
    <w:rsid w:val="00EE0958"/>
    <w:rsid w:val="00EF0EA4"/>
    <w:rsid w:val="00EF14D3"/>
    <w:rsid w:val="00EF2259"/>
    <w:rsid w:val="00EF36BA"/>
    <w:rsid w:val="00F07A28"/>
    <w:rsid w:val="00F332EC"/>
    <w:rsid w:val="00F41211"/>
    <w:rsid w:val="00F45ECE"/>
    <w:rsid w:val="00F5380F"/>
    <w:rsid w:val="00F56E26"/>
    <w:rsid w:val="00F779FF"/>
    <w:rsid w:val="00F92447"/>
    <w:rsid w:val="00FA5604"/>
    <w:rsid w:val="00FC15A4"/>
    <w:rsid w:val="00FC305E"/>
    <w:rsid w:val="00FF1FB0"/>
    <w:rsid w:val="00FF6189"/>
    <w:rsid w:val="01197BAA"/>
    <w:rsid w:val="01880E41"/>
    <w:rsid w:val="02950CB0"/>
    <w:rsid w:val="031919AD"/>
    <w:rsid w:val="03393932"/>
    <w:rsid w:val="0340117B"/>
    <w:rsid w:val="03651E4B"/>
    <w:rsid w:val="039C5B3B"/>
    <w:rsid w:val="03CF5390"/>
    <w:rsid w:val="04443E96"/>
    <w:rsid w:val="04BF4A7D"/>
    <w:rsid w:val="04EC01F3"/>
    <w:rsid w:val="05281858"/>
    <w:rsid w:val="068C296E"/>
    <w:rsid w:val="06CA6541"/>
    <w:rsid w:val="07511412"/>
    <w:rsid w:val="078261FA"/>
    <w:rsid w:val="07850E77"/>
    <w:rsid w:val="083A35E9"/>
    <w:rsid w:val="08AC1155"/>
    <w:rsid w:val="08CC6890"/>
    <w:rsid w:val="08D00A36"/>
    <w:rsid w:val="0A090C24"/>
    <w:rsid w:val="0A104990"/>
    <w:rsid w:val="0A2C442A"/>
    <w:rsid w:val="0A434290"/>
    <w:rsid w:val="0B061727"/>
    <w:rsid w:val="0B522D77"/>
    <w:rsid w:val="0B55348A"/>
    <w:rsid w:val="0BF3374D"/>
    <w:rsid w:val="0C65568C"/>
    <w:rsid w:val="0CA96B46"/>
    <w:rsid w:val="0CBA1E18"/>
    <w:rsid w:val="0CD57ABC"/>
    <w:rsid w:val="0CFD6E35"/>
    <w:rsid w:val="0D955327"/>
    <w:rsid w:val="0E2C3A46"/>
    <w:rsid w:val="0E502326"/>
    <w:rsid w:val="0E5061D2"/>
    <w:rsid w:val="0EA706B5"/>
    <w:rsid w:val="0F760FF4"/>
    <w:rsid w:val="0FE90BCB"/>
    <w:rsid w:val="10477A89"/>
    <w:rsid w:val="10740314"/>
    <w:rsid w:val="10AE046E"/>
    <w:rsid w:val="111E5F50"/>
    <w:rsid w:val="118D6B42"/>
    <w:rsid w:val="11F11AD4"/>
    <w:rsid w:val="12E27D7D"/>
    <w:rsid w:val="130E6143"/>
    <w:rsid w:val="1355440A"/>
    <w:rsid w:val="13850200"/>
    <w:rsid w:val="13EA7B55"/>
    <w:rsid w:val="14CE10EE"/>
    <w:rsid w:val="151972AE"/>
    <w:rsid w:val="152C68D7"/>
    <w:rsid w:val="15A70836"/>
    <w:rsid w:val="15EB14B0"/>
    <w:rsid w:val="16233996"/>
    <w:rsid w:val="165C6C2A"/>
    <w:rsid w:val="175624E3"/>
    <w:rsid w:val="17EE232F"/>
    <w:rsid w:val="18C243BE"/>
    <w:rsid w:val="198920DD"/>
    <w:rsid w:val="19923585"/>
    <w:rsid w:val="19E96E64"/>
    <w:rsid w:val="1A015E26"/>
    <w:rsid w:val="1AB007CC"/>
    <w:rsid w:val="1B3C4E96"/>
    <w:rsid w:val="1B553B31"/>
    <w:rsid w:val="1B9F0AB7"/>
    <w:rsid w:val="1BA6403F"/>
    <w:rsid w:val="1BE86FEC"/>
    <w:rsid w:val="1C120B5C"/>
    <w:rsid w:val="1C584845"/>
    <w:rsid w:val="1C6C6919"/>
    <w:rsid w:val="1D122A9D"/>
    <w:rsid w:val="1D73666F"/>
    <w:rsid w:val="1D887C47"/>
    <w:rsid w:val="1E2353D4"/>
    <w:rsid w:val="1E5B25A9"/>
    <w:rsid w:val="1E5D64E7"/>
    <w:rsid w:val="1E8F18E9"/>
    <w:rsid w:val="1EAF725E"/>
    <w:rsid w:val="1F8D39ED"/>
    <w:rsid w:val="1FF60AD4"/>
    <w:rsid w:val="20B364D5"/>
    <w:rsid w:val="211214BD"/>
    <w:rsid w:val="225F428C"/>
    <w:rsid w:val="229D444E"/>
    <w:rsid w:val="22B3286C"/>
    <w:rsid w:val="236A52BE"/>
    <w:rsid w:val="24053408"/>
    <w:rsid w:val="242D3145"/>
    <w:rsid w:val="253F485D"/>
    <w:rsid w:val="25C12E5C"/>
    <w:rsid w:val="25E008F6"/>
    <w:rsid w:val="25F52B1F"/>
    <w:rsid w:val="26BB6907"/>
    <w:rsid w:val="2703314D"/>
    <w:rsid w:val="27053B60"/>
    <w:rsid w:val="28035355"/>
    <w:rsid w:val="28113427"/>
    <w:rsid w:val="284116F5"/>
    <w:rsid w:val="28755B4A"/>
    <w:rsid w:val="28910951"/>
    <w:rsid w:val="2963384D"/>
    <w:rsid w:val="29E74C0A"/>
    <w:rsid w:val="2BC7392D"/>
    <w:rsid w:val="2C5560F3"/>
    <w:rsid w:val="2C5E083B"/>
    <w:rsid w:val="2CA2555A"/>
    <w:rsid w:val="2CE27F48"/>
    <w:rsid w:val="2D0B75EE"/>
    <w:rsid w:val="2DC64391"/>
    <w:rsid w:val="2E3E19FC"/>
    <w:rsid w:val="2F8143CB"/>
    <w:rsid w:val="301D78CE"/>
    <w:rsid w:val="305F7CA9"/>
    <w:rsid w:val="30AF5565"/>
    <w:rsid w:val="31073716"/>
    <w:rsid w:val="3116552F"/>
    <w:rsid w:val="31923967"/>
    <w:rsid w:val="31D07A31"/>
    <w:rsid w:val="31E76929"/>
    <w:rsid w:val="32046477"/>
    <w:rsid w:val="320F6C50"/>
    <w:rsid w:val="323D6EF8"/>
    <w:rsid w:val="327C7A4A"/>
    <w:rsid w:val="32984BAA"/>
    <w:rsid w:val="32E52D45"/>
    <w:rsid w:val="33044803"/>
    <w:rsid w:val="33677083"/>
    <w:rsid w:val="33886745"/>
    <w:rsid w:val="33BB681A"/>
    <w:rsid w:val="34170FFE"/>
    <w:rsid w:val="343F2E89"/>
    <w:rsid w:val="345D3EC0"/>
    <w:rsid w:val="349E0F14"/>
    <w:rsid w:val="35326984"/>
    <w:rsid w:val="35A82245"/>
    <w:rsid w:val="35A83086"/>
    <w:rsid w:val="35C71426"/>
    <w:rsid w:val="362359CE"/>
    <w:rsid w:val="36F739A8"/>
    <w:rsid w:val="38072147"/>
    <w:rsid w:val="381E6765"/>
    <w:rsid w:val="38807C6A"/>
    <w:rsid w:val="38907F06"/>
    <w:rsid w:val="38A42B48"/>
    <w:rsid w:val="396B0C2C"/>
    <w:rsid w:val="397C1242"/>
    <w:rsid w:val="3A054C41"/>
    <w:rsid w:val="3A5919A9"/>
    <w:rsid w:val="3A68296B"/>
    <w:rsid w:val="3AE74A2E"/>
    <w:rsid w:val="3B6E0C80"/>
    <w:rsid w:val="3C704AA9"/>
    <w:rsid w:val="3CCE0ACE"/>
    <w:rsid w:val="3D386F0F"/>
    <w:rsid w:val="3D855F0A"/>
    <w:rsid w:val="3E595372"/>
    <w:rsid w:val="3F044494"/>
    <w:rsid w:val="3F5546A8"/>
    <w:rsid w:val="3F693FA2"/>
    <w:rsid w:val="4063024B"/>
    <w:rsid w:val="407C5142"/>
    <w:rsid w:val="40977973"/>
    <w:rsid w:val="40CF28BA"/>
    <w:rsid w:val="40F009E4"/>
    <w:rsid w:val="40F131BE"/>
    <w:rsid w:val="415248EF"/>
    <w:rsid w:val="41945913"/>
    <w:rsid w:val="41993C4D"/>
    <w:rsid w:val="42582680"/>
    <w:rsid w:val="42DE2327"/>
    <w:rsid w:val="43866841"/>
    <w:rsid w:val="43FB2A3C"/>
    <w:rsid w:val="440D7EBA"/>
    <w:rsid w:val="448D05A2"/>
    <w:rsid w:val="44966E61"/>
    <w:rsid w:val="44C33A6D"/>
    <w:rsid w:val="451419D7"/>
    <w:rsid w:val="452F17DC"/>
    <w:rsid w:val="457143FF"/>
    <w:rsid w:val="45E371B5"/>
    <w:rsid w:val="46193008"/>
    <w:rsid w:val="46371930"/>
    <w:rsid w:val="46795786"/>
    <w:rsid w:val="46AF473C"/>
    <w:rsid w:val="46F3412E"/>
    <w:rsid w:val="47371E78"/>
    <w:rsid w:val="48936D6B"/>
    <w:rsid w:val="49D85CE5"/>
    <w:rsid w:val="4A4C1D1C"/>
    <w:rsid w:val="4A5C6148"/>
    <w:rsid w:val="4AC26C52"/>
    <w:rsid w:val="4AFD212D"/>
    <w:rsid w:val="4B1D771E"/>
    <w:rsid w:val="4BD7585B"/>
    <w:rsid w:val="4C2F5DCC"/>
    <w:rsid w:val="4C4127BD"/>
    <w:rsid w:val="4C6F672C"/>
    <w:rsid w:val="4CCF2D0C"/>
    <w:rsid w:val="4D160015"/>
    <w:rsid w:val="4D5B4542"/>
    <w:rsid w:val="4DED6F9E"/>
    <w:rsid w:val="4E223F24"/>
    <w:rsid w:val="4F0E1FBF"/>
    <w:rsid w:val="4F405D4A"/>
    <w:rsid w:val="4F441DBF"/>
    <w:rsid w:val="4F4B2370"/>
    <w:rsid w:val="4F526FA9"/>
    <w:rsid w:val="4FFA5F44"/>
    <w:rsid w:val="504E40B2"/>
    <w:rsid w:val="52103303"/>
    <w:rsid w:val="521764B4"/>
    <w:rsid w:val="523C43B9"/>
    <w:rsid w:val="526D1541"/>
    <w:rsid w:val="52E73AB9"/>
    <w:rsid w:val="53495480"/>
    <w:rsid w:val="538F50A6"/>
    <w:rsid w:val="53BE7C27"/>
    <w:rsid w:val="53DF6FF3"/>
    <w:rsid w:val="549B0D42"/>
    <w:rsid w:val="55A100E0"/>
    <w:rsid w:val="563418D3"/>
    <w:rsid w:val="56BB2168"/>
    <w:rsid w:val="572B275A"/>
    <w:rsid w:val="582365A6"/>
    <w:rsid w:val="583502CC"/>
    <w:rsid w:val="59AF6A06"/>
    <w:rsid w:val="59BB276D"/>
    <w:rsid w:val="59C01A03"/>
    <w:rsid w:val="5A060649"/>
    <w:rsid w:val="5AF17B21"/>
    <w:rsid w:val="5B873533"/>
    <w:rsid w:val="5C0612B3"/>
    <w:rsid w:val="5CDF70FB"/>
    <w:rsid w:val="5CEE2926"/>
    <w:rsid w:val="5D3B7C6F"/>
    <w:rsid w:val="5D9972E3"/>
    <w:rsid w:val="5DB11373"/>
    <w:rsid w:val="5DED4994"/>
    <w:rsid w:val="5DFA0E1F"/>
    <w:rsid w:val="5F0F7503"/>
    <w:rsid w:val="5F5876D7"/>
    <w:rsid w:val="60A0566F"/>
    <w:rsid w:val="60DB5E57"/>
    <w:rsid w:val="60DE5E37"/>
    <w:rsid w:val="627F7A61"/>
    <w:rsid w:val="636815B1"/>
    <w:rsid w:val="63B901AE"/>
    <w:rsid w:val="63F90A92"/>
    <w:rsid w:val="641511AF"/>
    <w:rsid w:val="647E595A"/>
    <w:rsid w:val="64A84A80"/>
    <w:rsid w:val="64E41250"/>
    <w:rsid w:val="65124BBF"/>
    <w:rsid w:val="65455241"/>
    <w:rsid w:val="654F7200"/>
    <w:rsid w:val="65942609"/>
    <w:rsid w:val="65A047FC"/>
    <w:rsid w:val="66344671"/>
    <w:rsid w:val="663E10BF"/>
    <w:rsid w:val="66731762"/>
    <w:rsid w:val="66A94671"/>
    <w:rsid w:val="66AF46E9"/>
    <w:rsid w:val="676C1064"/>
    <w:rsid w:val="677C39F8"/>
    <w:rsid w:val="686A2F56"/>
    <w:rsid w:val="68CE1462"/>
    <w:rsid w:val="68D7165A"/>
    <w:rsid w:val="694E16B5"/>
    <w:rsid w:val="69CB0D20"/>
    <w:rsid w:val="6A733F81"/>
    <w:rsid w:val="6A785339"/>
    <w:rsid w:val="6ACB4311"/>
    <w:rsid w:val="6BCF11A5"/>
    <w:rsid w:val="6C063924"/>
    <w:rsid w:val="6C90735E"/>
    <w:rsid w:val="6E04737F"/>
    <w:rsid w:val="6E5F0ECE"/>
    <w:rsid w:val="6EA176AC"/>
    <w:rsid w:val="6EC90A6F"/>
    <w:rsid w:val="6F172FAB"/>
    <w:rsid w:val="6F315A79"/>
    <w:rsid w:val="6F403C01"/>
    <w:rsid w:val="6F6737F1"/>
    <w:rsid w:val="6F9F1059"/>
    <w:rsid w:val="702F43FE"/>
    <w:rsid w:val="70B77E08"/>
    <w:rsid w:val="719855F0"/>
    <w:rsid w:val="72691600"/>
    <w:rsid w:val="72CD06A3"/>
    <w:rsid w:val="73070D00"/>
    <w:rsid w:val="73A05760"/>
    <w:rsid w:val="73C11CC4"/>
    <w:rsid w:val="74437EC9"/>
    <w:rsid w:val="74606AF0"/>
    <w:rsid w:val="74A06080"/>
    <w:rsid w:val="74B62B24"/>
    <w:rsid w:val="74D42D1B"/>
    <w:rsid w:val="74E6463E"/>
    <w:rsid w:val="76E35780"/>
    <w:rsid w:val="76E71CA6"/>
    <w:rsid w:val="77BE0DFE"/>
    <w:rsid w:val="77C67AE3"/>
    <w:rsid w:val="78297A32"/>
    <w:rsid w:val="78952865"/>
    <w:rsid w:val="78C6067C"/>
    <w:rsid w:val="795F49EE"/>
    <w:rsid w:val="79AA6359"/>
    <w:rsid w:val="79E40417"/>
    <w:rsid w:val="7A9E52A0"/>
    <w:rsid w:val="7B116664"/>
    <w:rsid w:val="7B384409"/>
    <w:rsid w:val="7C236318"/>
    <w:rsid w:val="7CB166E8"/>
    <w:rsid w:val="7CED44E1"/>
    <w:rsid w:val="7DDD4298"/>
    <w:rsid w:val="7DF76FE0"/>
    <w:rsid w:val="7E027927"/>
    <w:rsid w:val="7EE442E1"/>
    <w:rsid w:val="7F3C5029"/>
    <w:rsid w:val="7FC1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jc w:val="center"/>
      <w:outlineLvl w:val="0"/>
    </w:pPr>
    <w:rPr>
      <w:rFonts w:eastAsia="方正小标宋_GBK"/>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1"/>
    <w:qFormat/>
    <w:uiPriority w:val="10"/>
    <w:pPr>
      <w:jc w:val="left"/>
      <w:outlineLvl w:val="0"/>
    </w:pPr>
    <w:rPr>
      <w:rFonts w:eastAsia="黑体" w:asciiTheme="majorHAnsi" w:hAnsiTheme="majorHAnsi" w:cstheme="majorBidi"/>
      <w:bCs/>
      <w:sz w:val="32"/>
      <w:szCs w:val="32"/>
    </w:rPr>
  </w:style>
  <w:style w:type="character" w:customStyle="1" w:styleId="10">
    <w:name w:val="标题 1 Char"/>
    <w:basedOn w:val="9"/>
    <w:link w:val="2"/>
    <w:qFormat/>
    <w:uiPriority w:val="9"/>
    <w:rPr>
      <w:rFonts w:eastAsia="方正小标宋_GBK"/>
      <w:b/>
      <w:bCs/>
      <w:kern w:val="44"/>
      <w:sz w:val="44"/>
      <w:szCs w:val="44"/>
    </w:rPr>
  </w:style>
  <w:style w:type="character" w:customStyle="1" w:styleId="11">
    <w:name w:val="标题 Char"/>
    <w:basedOn w:val="9"/>
    <w:link w:val="7"/>
    <w:qFormat/>
    <w:uiPriority w:val="10"/>
    <w:rPr>
      <w:rFonts w:eastAsia="黑体" w:asciiTheme="majorHAnsi" w:hAnsiTheme="majorHAnsi" w:cstheme="majorBidi"/>
      <w:bCs/>
      <w:sz w:val="32"/>
      <w:szCs w:val="32"/>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不明显强调1"/>
    <w:basedOn w:val="9"/>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143</Words>
  <Characters>819</Characters>
  <Lines>6</Lines>
  <Paragraphs>1</Paragraphs>
  <TotalTime>3</TotalTime>
  <ScaleCrop>false</ScaleCrop>
  <LinksUpToDate>false</LinksUpToDate>
  <CharactersWithSpaces>961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2020-06-17T08:54:00Z</dcterms:created>
  <dc:creator>李世春</dc:creator>
  <cp:lastModifiedBy>春风识李</cp:lastModifiedBy>
  <cp:lastPrinted>2018-05-24T02:50:00Z</cp:lastPrinted>
  <dcterms:modified xsi:type="dcterms:W3CDTF">2021-10-21T02:20:46Z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